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FFF0" w14:textId="77777777" w:rsidR="00C3397A" w:rsidRPr="0074200C" w:rsidRDefault="00C3397A" w:rsidP="00C3397A">
      <w:pPr>
        <w:pageBreakBefore/>
        <w:rPr>
          <w:rFonts w:ascii="Cambria" w:eastAsia="MS Mincho" w:hAnsi="Cambria" w:cs="Times New Roman"/>
          <w:b/>
          <w:color w:val="000000"/>
          <w:sz w:val="28"/>
          <w:szCs w:val="28"/>
        </w:rPr>
      </w:pPr>
      <w:r w:rsidRPr="0074200C">
        <w:rPr>
          <w:rFonts w:ascii="Cambria" w:eastAsia="MS Mincho" w:hAnsi="Cambria" w:cs="Times New Roman"/>
          <w:noProof/>
        </w:rPr>
        <w:drawing>
          <wp:anchor distT="0" distB="0" distL="114300" distR="114300" simplePos="0" relativeHeight="251659264" behindDoc="0" locked="0" layoutInCell="1" allowOverlap="1" wp14:anchorId="0E5E7BA6" wp14:editId="59BA43E7">
            <wp:simplePos x="0" y="0"/>
            <wp:positionH relativeFrom="column">
              <wp:posOffset>4705508</wp:posOffset>
            </wp:positionH>
            <wp:positionV relativeFrom="paragraph">
              <wp:posOffset>-437702</wp:posOffset>
            </wp:positionV>
            <wp:extent cx="1161435" cy="1028700"/>
            <wp:effectExtent l="0" t="0" r="635" b="0"/>
            <wp:wrapNone/>
            <wp:docPr id="45" name="Picture 2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00C">
        <w:rPr>
          <w:rFonts w:ascii="Cambria" w:eastAsia="MS Mincho" w:hAnsi="Cambria" w:cs="Times New Roman"/>
          <w:b/>
          <w:color w:val="000000"/>
          <w:sz w:val="28"/>
          <w:szCs w:val="28"/>
        </w:rPr>
        <w:t>Policy &amp; Procedures Manual</w:t>
      </w:r>
    </w:p>
    <w:p w14:paraId="3A62858F" w14:textId="77777777" w:rsidR="00C3397A" w:rsidRPr="0074200C" w:rsidRDefault="00C3397A" w:rsidP="00C3397A">
      <w:pPr>
        <w:rPr>
          <w:rFonts w:ascii="Cambria" w:eastAsia="MS Mincho" w:hAnsi="Cambria" w:cs="Times New Roman"/>
          <w:color w:val="000000"/>
        </w:rPr>
      </w:pPr>
      <w:r w:rsidRPr="0074200C">
        <w:rPr>
          <w:rFonts w:ascii="Cambria" w:eastAsia="MS Mincho" w:hAnsi="Cambria" w:cs="Times New Roman"/>
          <w:b/>
          <w:color w:val="000000"/>
        </w:rPr>
        <w:t>Wisconsin Swimming, Inc.</w:t>
      </w:r>
    </w:p>
    <w:p w14:paraId="70AAA406" w14:textId="77777777" w:rsidR="00C3397A" w:rsidRPr="0074200C" w:rsidRDefault="00C3397A" w:rsidP="00C3397A">
      <w:pPr>
        <w:keepNext/>
        <w:keepLines/>
        <w:spacing w:before="480"/>
        <w:outlineLvl w:val="0"/>
        <w:rPr>
          <w:rFonts w:ascii="Times New Roman" w:eastAsia="Calibri" w:hAnsi="Times New Roman" w:cs="Times New Roman"/>
          <w:b/>
        </w:rPr>
      </w:pPr>
      <w:bookmarkStart w:id="0" w:name="_Toc126069593"/>
      <w:r>
        <w:rPr>
          <w:rFonts w:ascii="Cambria" w:eastAsia="MS Gothic" w:hAnsi="Cambria" w:cs="Times New Roman"/>
          <w:b/>
          <w:bCs/>
          <w:color w:val="000000"/>
        </w:rPr>
        <w:t>Policy 35</w:t>
      </w:r>
      <w:r w:rsidRPr="0074200C">
        <w:rPr>
          <w:rFonts w:ascii="Cambria" w:eastAsia="MS Gothic" w:hAnsi="Cambria" w:cs="Times New Roman"/>
          <w:b/>
          <w:bCs/>
          <w:color w:val="000000"/>
        </w:rPr>
        <w:t xml:space="preserve">: </w:t>
      </w:r>
      <w:r>
        <w:rPr>
          <w:rFonts w:ascii="Cambria" w:eastAsia="MS Gothic" w:hAnsi="Cambria" w:cs="Times New Roman"/>
          <w:b/>
          <w:bCs/>
          <w:color w:val="000000"/>
        </w:rPr>
        <w:t xml:space="preserve">LSC </w:t>
      </w:r>
      <w:r w:rsidRPr="00967655">
        <w:rPr>
          <w:rFonts w:ascii="Cambria" w:eastAsia="MS Gothic" w:hAnsi="Cambria" w:cs="Times New Roman"/>
          <w:b/>
          <w:bCs/>
          <w:color w:val="000000"/>
        </w:rPr>
        <w:t>Board Member Expectations and Responsibilities</w:t>
      </w:r>
      <w:bookmarkEnd w:id="0"/>
    </w:p>
    <w:p w14:paraId="5D637BA8" w14:textId="77777777" w:rsidR="00C3397A" w:rsidRPr="0074200C" w:rsidRDefault="00C3397A" w:rsidP="00C3397A">
      <w:pPr>
        <w:spacing w:after="160" w:line="259" w:lineRule="auto"/>
        <w:rPr>
          <w:rFonts w:ascii="Cambria" w:eastAsia="Calibri" w:hAnsi="Cambria" w:cs="Times New Roman"/>
        </w:rPr>
      </w:pPr>
      <w:r w:rsidRPr="0074200C">
        <w:rPr>
          <w:rFonts w:ascii="Cambria" w:eastAsia="Calibri" w:hAnsi="Cambria" w:cs="Times New Roman"/>
          <w:b/>
        </w:rPr>
        <w:t>Effective Date</w:t>
      </w:r>
      <w:r w:rsidRPr="0074200C">
        <w:rPr>
          <w:rFonts w:ascii="Cambria" w:eastAsia="Calibri" w:hAnsi="Cambria" w:cs="Times New Roman"/>
        </w:rPr>
        <w:t xml:space="preserve">: </w:t>
      </w:r>
      <w:r>
        <w:rPr>
          <w:rFonts w:ascii="Cambria" w:eastAsia="Calibri" w:hAnsi="Cambria" w:cs="Times New Roman"/>
        </w:rPr>
        <w:t>January 24, 2023</w:t>
      </w:r>
    </w:p>
    <w:p w14:paraId="4C8BB113" w14:textId="77777777" w:rsidR="00C3397A" w:rsidRPr="0074200C" w:rsidRDefault="00C3397A" w:rsidP="00C3397A">
      <w:pPr>
        <w:spacing w:after="160" w:line="259" w:lineRule="auto"/>
        <w:rPr>
          <w:rFonts w:ascii="Cambria" w:eastAsia="Calibri" w:hAnsi="Cambria" w:cs="Times New Roman"/>
        </w:rPr>
      </w:pPr>
      <w:r w:rsidRPr="0074200C">
        <w:rPr>
          <w:rFonts w:ascii="Cambria" w:eastAsia="Calibri" w:hAnsi="Cambria" w:cs="Times New Roman"/>
          <w:b/>
        </w:rPr>
        <w:t>Scope</w:t>
      </w:r>
      <w:r w:rsidRPr="0074200C">
        <w:rPr>
          <w:rFonts w:ascii="Cambria" w:eastAsia="Calibri" w:hAnsi="Cambria" w:cs="Times New Roman"/>
        </w:rPr>
        <w:t xml:space="preserve">: </w:t>
      </w:r>
      <w:r>
        <w:rPr>
          <w:rFonts w:ascii="Cambria" w:eastAsia="Calibri" w:hAnsi="Cambria" w:cs="Times New Roman"/>
        </w:rPr>
        <w:t xml:space="preserve"> Provide guidance to LSC Board of Directors on expectations and responsibilities in their roles.</w:t>
      </w:r>
    </w:p>
    <w:p w14:paraId="261505F6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0F9282F7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02B6F3FC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3FBAAB24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77445E71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14E80825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248D26EB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561AD70B" w14:textId="77777777" w:rsidR="00C3397A" w:rsidRPr="0074200C" w:rsidRDefault="00C3397A" w:rsidP="00C3397A">
      <w:pPr>
        <w:pStyle w:val="ListParagraph"/>
        <w:numPr>
          <w:ilvl w:val="0"/>
          <w:numId w:val="1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5EB89A62" w14:textId="77777777" w:rsidR="00C3397A" w:rsidRPr="004658B5" w:rsidRDefault="00C3397A" w:rsidP="00C3397A">
      <w:pPr>
        <w:pStyle w:val="ListParagraph"/>
        <w:numPr>
          <w:ilvl w:val="0"/>
          <w:numId w:val="2"/>
        </w:numPr>
        <w:spacing w:after="160" w:line="259" w:lineRule="auto"/>
        <w:rPr>
          <w:rFonts w:ascii="Cambria" w:eastAsia="MS Mincho" w:hAnsi="Cambria" w:cs="Times New Roman"/>
          <w:b/>
          <w:vanish/>
          <w:color w:val="000000"/>
        </w:rPr>
      </w:pPr>
    </w:p>
    <w:p w14:paraId="6B079630" w14:textId="77777777" w:rsidR="00C3397A" w:rsidRPr="00747F0B" w:rsidRDefault="00C3397A" w:rsidP="00C3397A">
      <w:pPr>
        <w:spacing w:after="120" w:line="259" w:lineRule="auto"/>
        <w:rPr>
          <w:rFonts w:ascii="Cambria" w:eastAsia="Calibri" w:hAnsi="Cambria" w:cs="Times New Roman"/>
          <w:b/>
        </w:rPr>
      </w:pPr>
      <w:r w:rsidRPr="00D0338C">
        <w:rPr>
          <w:rFonts w:ascii="Cambria" w:eastAsia="MS Mincho" w:hAnsi="Cambria" w:cs="Times New Roman"/>
          <w:b/>
          <w:color w:val="000000"/>
        </w:rPr>
        <w:t xml:space="preserve">Background: </w:t>
      </w:r>
      <w:r w:rsidRPr="00D0338C">
        <w:rPr>
          <w:rFonts w:ascii="Cambria" w:eastAsia="MS Mincho" w:hAnsi="Cambria" w:cs="Times New Roman"/>
          <w:color w:val="000000"/>
        </w:rPr>
        <w:t xml:space="preserve"> </w:t>
      </w:r>
      <w:r w:rsidRPr="008B1621">
        <w:rPr>
          <w:rFonts w:ascii="Cambria" w:eastAsia="MS Mincho" w:hAnsi="Cambria" w:cs="Times New Roman"/>
          <w:color w:val="000000"/>
        </w:rPr>
        <w:t xml:space="preserve">Board member engagement and participation is crucial to the Board’s success in fulfilling the mission and vision of Wisconsin Swimming on behalf of its Athlete and Non-Athlete membership. </w:t>
      </w:r>
    </w:p>
    <w:p w14:paraId="1D19A18E" w14:textId="77777777" w:rsidR="00C3397A" w:rsidRPr="00747F0B" w:rsidRDefault="00C3397A" w:rsidP="00C3397A">
      <w:pPr>
        <w:numPr>
          <w:ilvl w:val="1"/>
          <w:numId w:val="3"/>
        </w:numPr>
        <w:shd w:val="clear" w:color="auto" w:fill="FFFFFF"/>
        <w:spacing w:before="120" w:line="259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b/>
          <w:bCs/>
          <w:color w:val="333333"/>
        </w:rPr>
        <w:t xml:space="preserve">Goals and Intent: </w:t>
      </w:r>
      <w:r w:rsidRPr="00747F0B">
        <w:rPr>
          <w:rFonts w:eastAsia="Times New Roman" w:cstheme="minorHAnsi"/>
          <w:color w:val="333333"/>
        </w:rPr>
        <w:t>Each Board member is expected to fulfill the Expectations and Responsibilities detailed here</w:t>
      </w:r>
      <w:r w:rsidRPr="00747F0B">
        <w:rPr>
          <w:rFonts w:eastAsia="Times New Roman" w:cstheme="minorHAnsi"/>
          <w:b/>
          <w:bCs/>
          <w:color w:val="333333"/>
        </w:rPr>
        <w:t>.</w:t>
      </w:r>
    </w:p>
    <w:p w14:paraId="7B5790A3" w14:textId="77777777" w:rsidR="00C3397A" w:rsidRDefault="00C3397A" w:rsidP="00C3397A">
      <w:pPr>
        <w:numPr>
          <w:ilvl w:val="1"/>
          <w:numId w:val="3"/>
        </w:numPr>
        <w:shd w:val="clear" w:color="auto" w:fill="FFFFFF"/>
        <w:spacing w:before="120" w:line="259" w:lineRule="auto"/>
        <w:rPr>
          <w:rFonts w:eastAsia="Times New Roman" w:cstheme="minorHAnsi"/>
          <w:color w:val="333333"/>
        </w:rPr>
      </w:pPr>
      <w:r w:rsidRPr="00E147C0">
        <w:rPr>
          <w:b/>
        </w:rPr>
        <w:t>Role</w:t>
      </w:r>
      <w:r>
        <w:rPr>
          <w:b/>
        </w:rPr>
        <w:t>s</w:t>
      </w:r>
      <w:r w:rsidRPr="00E147C0">
        <w:rPr>
          <w:b/>
        </w:rPr>
        <w:t xml:space="preserve"> </w:t>
      </w:r>
      <w:r>
        <w:rPr>
          <w:b/>
        </w:rPr>
        <w:t xml:space="preserve">and Responsibilities </w:t>
      </w:r>
      <w:r w:rsidRPr="00E147C0">
        <w:rPr>
          <w:b/>
        </w:rPr>
        <w:t>of the Board of Directors</w:t>
      </w:r>
    </w:p>
    <w:p w14:paraId="6954A510" w14:textId="77777777" w:rsidR="00C3397A" w:rsidRDefault="00C3397A" w:rsidP="00C3397A">
      <w:pPr>
        <w:numPr>
          <w:ilvl w:val="2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E147C0">
        <w:rPr>
          <w:rFonts w:eastAsia="Times New Roman" w:cstheme="minorHAnsi"/>
          <w:color w:val="333333"/>
        </w:rPr>
        <w:t>Specific responsibilities of the Board to its membership include:</w:t>
      </w:r>
    </w:p>
    <w:p w14:paraId="6F4D4DB9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3A382F">
        <w:rPr>
          <w:rFonts w:eastAsia="Times New Roman" w:cstheme="minorHAnsi"/>
          <w:color w:val="333333"/>
        </w:rPr>
        <w:t>Serving as an outward-looking, future-oriented strategic governing body.</w:t>
      </w:r>
    </w:p>
    <w:p w14:paraId="03AB962A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3A382F">
        <w:rPr>
          <w:rFonts w:eastAsia="Times New Roman" w:cstheme="minorHAnsi"/>
          <w:color w:val="333333"/>
        </w:rPr>
        <w:t>Ensuring the fiscal sustainability of the organization.</w:t>
      </w:r>
    </w:p>
    <w:p w14:paraId="68AC88B8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3A382F">
        <w:rPr>
          <w:rFonts w:eastAsia="Times New Roman" w:cstheme="minorHAnsi"/>
          <w:color w:val="333333"/>
        </w:rPr>
        <w:t>Providing oversight of the organization, including:</w:t>
      </w:r>
    </w:p>
    <w:p w14:paraId="3E05F547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>Ensuring that Committees established by the Board are functioning in keeping with the stated objectives and the mission.</w:t>
      </w:r>
    </w:p>
    <w:p w14:paraId="059F76FE" w14:textId="510AE478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 xml:space="preserve">Ensuring compliance with legal requirements, </w:t>
      </w:r>
      <w:r w:rsidR="006137E9" w:rsidRPr="00105A1D">
        <w:rPr>
          <w:rFonts w:eastAsia="Times New Roman" w:cstheme="minorHAnsi"/>
          <w:color w:val="333333"/>
        </w:rPr>
        <w:t>Bylaws,</w:t>
      </w:r>
      <w:r w:rsidRPr="00105A1D">
        <w:rPr>
          <w:rFonts w:eastAsia="Times New Roman" w:cstheme="minorHAnsi"/>
          <w:color w:val="333333"/>
        </w:rPr>
        <w:t xml:space="preserve"> and governance policies.</w:t>
      </w:r>
    </w:p>
    <w:p w14:paraId="51A4ABB7" w14:textId="29EBA636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 xml:space="preserve">Establishing, </w:t>
      </w:r>
      <w:r w:rsidR="006137E9" w:rsidRPr="00105A1D">
        <w:rPr>
          <w:rFonts w:eastAsia="Times New Roman" w:cstheme="minorHAnsi"/>
          <w:color w:val="333333"/>
        </w:rPr>
        <w:t>reviewing,</w:t>
      </w:r>
      <w:r w:rsidRPr="00105A1D">
        <w:rPr>
          <w:rFonts w:eastAsia="Times New Roman" w:cstheme="minorHAnsi"/>
          <w:color w:val="333333"/>
        </w:rPr>
        <w:t xml:space="preserve"> and updating policies and procedures.</w:t>
      </w:r>
    </w:p>
    <w:p w14:paraId="355C6339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>Establishing a strategic plan for Wisconsin Swimming and monitoring its implementation.</w:t>
      </w:r>
    </w:p>
    <w:p w14:paraId="34575015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 xml:space="preserve">Performing needs assessment to identify needs and trends related to the organization's activities and performance. </w:t>
      </w:r>
    </w:p>
    <w:p w14:paraId="14A80F52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>Acting as representatives of Wisconsin Swimming and USA Swimming to the swimming community and the public.</w:t>
      </w:r>
    </w:p>
    <w:p w14:paraId="0E608087" w14:textId="77777777" w:rsidR="00C3397A" w:rsidRDefault="00C3397A" w:rsidP="00C3397A">
      <w:pPr>
        <w:pStyle w:val="ListParagraph"/>
        <w:numPr>
          <w:ilvl w:val="1"/>
          <w:numId w:val="3"/>
        </w:numPr>
        <w:rPr>
          <w:rFonts w:eastAsia="Times New Roman" w:cstheme="minorHAnsi"/>
          <w:b/>
          <w:bCs/>
          <w:color w:val="333333"/>
        </w:rPr>
      </w:pPr>
      <w:r w:rsidRPr="00747F0B">
        <w:rPr>
          <w:rFonts w:eastAsia="Times New Roman" w:cstheme="minorHAnsi"/>
          <w:b/>
          <w:bCs/>
          <w:color w:val="333333"/>
        </w:rPr>
        <w:t>Expectation of Individual Board Members</w:t>
      </w:r>
    </w:p>
    <w:p w14:paraId="272F7650" w14:textId="50543E8E" w:rsidR="00C3397A" w:rsidRPr="00747F0B" w:rsidRDefault="00C3397A" w:rsidP="00C3397A">
      <w:pPr>
        <w:pStyle w:val="ListParagraph"/>
        <w:numPr>
          <w:ilvl w:val="2"/>
          <w:numId w:val="3"/>
        </w:numPr>
        <w:rPr>
          <w:rFonts w:eastAsia="Times New Roman" w:cstheme="minorHAnsi"/>
          <w:b/>
          <w:bCs/>
          <w:color w:val="333333"/>
        </w:rPr>
      </w:pPr>
      <w:r w:rsidRPr="00747F0B">
        <w:rPr>
          <w:rFonts w:eastAsia="Times New Roman" w:cstheme="minorHAnsi"/>
          <w:color w:val="333333"/>
        </w:rPr>
        <w:t>Wisconsin Swimming members and the Board of Directors expect ethical professional, and lawful conduct by the individual Board members when acting as Board member</w:t>
      </w:r>
      <w:r w:rsidR="0079212D" w:rsidRPr="00747F0B">
        <w:rPr>
          <w:rFonts w:eastAsia="Times New Roman" w:cstheme="minorHAnsi"/>
          <w:color w:val="333333"/>
        </w:rPr>
        <w:t xml:space="preserve">.  </w:t>
      </w:r>
      <w:r w:rsidRPr="00747F0B">
        <w:rPr>
          <w:rFonts w:eastAsia="Times New Roman" w:cstheme="minorHAnsi"/>
          <w:color w:val="333333"/>
        </w:rPr>
        <w:t>These expectations include, but are not limited to:</w:t>
      </w:r>
    </w:p>
    <w:p w14:paraId="62DAA889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105A1D">
        <w:rPr>
          <w:rFonts w:eastAsia="Times New Roman" w:cstheme="minorHAnsi"/>
          <w:color w:val="333333"/>
        </w:rPr>
        <w:t>Service: Actively serve a two-year term and successfully complete responsibilities outlined in the job description, in partnership with staff liaison.</w:t>
      </w:r>
    </w:p>
    <w:p w14:paraId="798088ED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0707BF">
        <w:t>C</w:t>
      </w:r>
      <w:r>
        <w:t>ommitment: A</w:t>
      </w:r>
      <w:r w:rsidRPr="000707BF">
        <w:t xml:space="preserve">bide by the Articles of Incorporation, Bylaws, Policies and Procedures, the Rules and Regulations (including the Safe Sport, </w:t>
      </w:r>
      <w:r w:rsidRPr="000707BF">
        <w:lastRenderedPageBreak/>
        <w:t>Code of Conduct, and Governing Policies), of Wisconsin Swimming and USA Swimming.</w:t>
      </w:r>
    </w:p>
    <w:p w14:paraId="5311E149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Mission: Understand and promote the mission of Wisconsin Swimming.</w:t>
      </w:r>
    </w:p>
    <w:p w14:paraId="6FFC8AA7" w14:textId="77777777" w:rsidR="00C3397A" w:rsidRPr="00D5106D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0707BF">
        <w:t>Attendance:</w:t>
      </w:r>
      <w:r>
        <w:t xml:space="preserve"> A</w:t>
      </w:r>
      <w:r w:rsidRPr="000707BF">
        <w:t xml:space="preserve">ttend </w:t>
      </w:r>
      <w:r>
        <w:t xml:space="preserve">and participate in required Board meetings, HOD meetings and the Annual meeting </w:t>
      </w:r>
      <w:r w:rsidRPr="000707BF">
        <w:t>on a regular and punctual basis.</w:t>
      </w:r>
    </w:p>
    <w:p w14:paraId="46602067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R</w:t>
      </w:r>
      <w:r w:rsidRPr="000707BF">
        <w:t>eview agenda materials in advance of Board and committee meetings and to participate productively in discussions.</w:t>
      </w:r>
    </w:p>
    <w:p w14:paraId="70C7F372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0707BF">
        <w:t>Responsivene</w:t>
      </w:r>
      <w:r>
        <w:t>ss: B</w:t>
      </w:r>
      <w:r w:rsidRPr="000707BF">
        <w:t>e attentive to Board communications and respond promptly to staff and Board member requests for feedback.</w:t>
      </w:r>
    </w:p>
    <w:p w14:paraId="41D3490F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0707BF">
        <w:t xml:space="preserve">Members in Good Standing: </w:t>
      </w:r>
      <w:r>
        <w:t>M</w:t>
      </w:r>
      <w:r w:rsidRPr="000707BF">
        <w:t>aintain USA Swimming and Wisconsin Swimming membership in good standing, as well as within their respective communities.</w:t>
      </w:r>
    </w:p>
    <w:p w14:paraId="61A6ACF9" w14:textId="4AF0BEBA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Engagement: </w:t>
      </w:r>
      <w:r>
        <w:t xml:space="preserve">Learn, </w:t>
      </w:r>
      <w:r w:rsidR="0079212D">
        <w:t>teach,</w:t>
      </w:r>
      <w:r>
        <w:t xml:space="preserve"> and share in successes and failures, to provide honest and constructive feedback to benefit the success of the organization.</w:t>
      </w:r>
    </w:p>
    <w:p w14:paraId="5246B535" w14:textId="77777777" w:rsidR="00C3397A" w:rsidRDefault="00C3397A" w:rsidP="00C3397A">
      <w:pPr>
        <w:numPr>
          <w:ilvl w:val="1"/>
          <w:numId w:val="3"/>
        </w:numPr>
        <w:shd w:val="clear" w:color="auto" w:fill="FFFFFF"/>
        <w:spacing w:before="120" w:line="259" w:lineRule="auto"/>
        <w:rPr>
          <w:rFonts w:eastAsia="Times New Roman" w:cstheme="minorHAnsi"/>
          <w:color w:val="333333"/>
        </w:rPr>
      </w:pPr>
      <w:r w:rsidRPr="00D5106D">
        <w:rPr>
          <w:b/>
        </w:rPr>
        <w:t>Responsibilities and Requirements of Individual Board Members:</w:t>
      </w:r>
    </w:p>
    <w:p w14:paraId="7DA2898B" w14:textId="77777777" w:rsidR="00C3397A" w:rsidRDefault="00C3397A" w:rsidP="00C3397A">
      <w:pPr>
        <w:numPr>
          <w:ilvl w:val="2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Individual Board Member are expected to:</w:t>
      </w:r>
    </w:p>
    <w:p w14:paraId="5F838AC9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 xml:space="preserve">Actively participate in </w:t>
      </w:r>
      <w:r w:rsidRPr="008C7A49">
        <w:t>the Board Orientation meeting.</w:t>
      </w:r>
    </w:p>
    <w:p w14:paraId="5470336F" w14:textId="5D8B533C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 xml:space="preserve">Actively participate in </w:t>
      </w:r>
      <w:r w:rsidRPr="008C7A49">
        <w:t xml:space="preserve">Board, House of Delegates and the Annual HOD meetings on a regular and punctual basis. </w:t>
      </w:r>
      <w:r w:rsidR="0079212D">
        <w:t xml:space="preserve"> </w:t>
      </w:r>
      <w:r>
        <w:t xml:space="preserve">Annual Meeting attendance shall be in person, unless approved by the General Chair for virtual attendance. </w:t>
      </w:r>
      <w:r w:rsidR="0079212D">
        <w:t xml:space="preserve"> </w:t>
      </w:r>
      <w:r w:rsidRPr="008C7A49">
        <w:t xml:space="preserve">Addressing </w:t>
      </w:r>
      <w:r>
        <w:t xml:space="preserve">unapproved </w:t>
      </w:r>
      <w:r w:rsidRPr="008C7A49">
        <w:t>absence from meetings:</w:t>
      </w:r>
    </w:p>
    <w:p w14:paraId="6F72112C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t>Any elected officer or Board member who is absent from two consecutive meetings without excuse during a single administrative year shall automatically vacate the seat and the vacancy shall be filled as provided by the bylaws.</w:t>
      </w:r>
    </w:p>
    <w:p w14:paraId="0609BBC0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t>Absence from 3 non-consecutive meetings without excuse during a single administrative year is equivalent to resignation from the Board.</w:t>
      </w:r>
    </w:p>
    <w:p w14:paraId="3E74647B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t>Confirmation of absences and subsequent removal from the Board shall be given to the Board member in writing by the Secretary of the Board.</w:t>
      </w:r>
    </w:p>
    <w:p w14:paraId="123F9136" w14:textId="32B9C2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t xml:space="preserve">In case of extenuating circumstances for an unexcused absence, the Board member may request a waiver of these provisions. </w:t>
      </w:r>
      <w:r w:rsidR="0079212D">
        <w:t xml:space="preserve"> </w:t>
      </w:r>
      <w:r w:rsidRPr="008C7A49">
        <w:t>Waivers may be granted by vote of the Board or at the discretion of the Board Chair (in which case the General Chair shall inform the Board).</w:t>
      </w:r>
    </w:p>
    <w:p w14:paraId="2BB285E2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lastRenderedPageBreak/>
        <w:t xml:space="preserve">Board members shall notify the General Chair if they are unable to attend a meeting, and the reason for the absence. </w:t>
      </w:r>
    </w:p>
    <w:p w14:paraId="7AC6EA97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Board member, Committee Chair and Coordinator shall provide reports:</w:t>
      </w:r>
    </w:p>
    <w:p w14:paraId="3C22AB9A" w14:textId="10D1CA0D" w:rsidR="00C3397A" w:rsidRPr="002C7A12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 w:rsidRPr="008C7A49">
        <w:t>Each Board member, Committee Chair and Coordinator shall provide a written or verbal report at each BOD and HOD meeting and for the Annual Meeting</w:t>
      </w:r>
      <w:r w:rsidR="0079212D" w:rsidRPr="008C7A49">
        <w:t xml:space="preserve">.  </w:t>
      </w:r>
      <w:r w:rsidRPr="008C7A49">
        <w:t>Written reports shall be sent to the Operations Manager and General Chair two weeks prior to the meeting, for distribution to the Board.</w:t>
      </w:r>
    </w:p>
    <w:p w14:paraId="191DF975" w14:textId="7777777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A written report is required for any actionable business.</w:t>
      </w:r>
    </w:p>
    <w:p w14:paraId="2DF7AE0F" w14:textId="283806E7" w:rsidR="00C3397A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Written reports shall be considered consent agenda items and will not be discussed at the BOD meeting unless desired by the report author or pulled by a BOD member.</w:t>
      </w:r>
    </w:p>
    <w:p w14:paraId="11DD43E7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Confidentiality: Maintain confidentiality on issues of a sensitive nature or for closed meetings.</w:t>
      </w:r>
    </w:p>
    <w:p w14:paraId="7082AF36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Abide by Board decisions: Support and accurately represent positions and decisions duly agreed upon by the Board.</w:t>
      </w:r>
    </w:p>
    <w:p w14:paraId="60889098" w14:textId="77777777" w:rsidR="00C3397A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Conflict of Interest: Avoid any conflict of interest with respect to their fiduciary duty (the responsibility of Board members and the BOD as a whole to serve as trustee of the organization’s assets on behalf of the greater community), and abide to and sign, the Wisconsin Swimming Conflict of Interest policy.</w:t>
      </w:r>
    </w:p>
    <w:p w14:paraId="721FF94C" w14:textId="77777777" w:rsidR="00C3397A" w:rsidRPr="002C7A12" w:rsidRDefault="00C3397A" w:rsidP="00C3397A">
      <w:pPr>
        <w:numPr>
          <w:ilvl w:val="3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Support </w:t>
      </w:r>
      <w:r>
        <w:t xml:space="preserve">“One-Voice” leadership: The BOD has authority as a body, and not with individual members. </w:t>
      </w:r>
    </w:p>
    <w:p w14:paraId="4FABCFE5" w14:textId="77777777" w:rsidR="00C3397A" w:rsidRPr="002C7A12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 xml:space="preserve">The voice of the BOD is expressed through written decisions and policies. </w:t>
      </w:r>
    </w:p>
    <w:p w14:paraId="0D5364A1" w14:textId="77777777" w:rsidR="00C3397A" w:rsidRPr="002C7A12" w:rsidRDefault="00C3397A" w:rsidP="00C3397A">
      <w:pPr>
        <w:numPr>
          <w:ilvl w:val="4"/>
          <w:numId w:val="3"/>
        </w:numPr>
        <w:shd w:val="clear" w:color="auto" w:fill="FFFFFF"/>
        <w:spacing w:line="259" w:lineRule="auto"/>
        <w:rPr>
          <w:rFonts w:eastAsia="Times New Roman" w:cstheme="minorHAnsi"/>
          <w:color w:val="333333"/>
        </w:rPr>
      </w:pPr>
      <w:r>
        <w:t>Individual BOD members, committee members and coordinators have no authority over the organization or staff unless the BOD or bylaws has specifically delegated that authority.</w:t>
      </w:r>
    </w:p>
    <w:p w14:paraId="53481F32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10E1AF89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3D17E39A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588353B3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412EE22E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3EA7C49F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452ECD4C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2F86A5AA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5B8E486B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7C7D0CA8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p w14:paraId="645B766D" w14:textId="77777777" w:rsidR="00C3397A" w:rsidRDefault="00C3397A" w:rsidP="00C3397A">
      <w:pPr>
        <w:keepNext/>
        <w:keepLines/>
        <w:shd w:val="clear" w:color="auto" w:fill="FFFFFF"/>
        <w:spacing w:line="259" w:lineRule="auto"/>
        <w:ind w:left="1152"/>
        <w:rPr>
          <w:rFonts w:eastAsia="Times New Roman" w:cstheme="minorHAnsi"/>
          <w:color w:val="333333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C3397A" w:rsidRPr="001479CC" w14:paraId="49135310" w14:textId="77777777" w:rsidTr="004B052F">
        <w:tc>
          <w:tcPr>
            <w:tcW w:w="2214" w:type="dxa"/>
          </w:tcPr>
          <w:p w14:paraId="23DB14EE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b/>
                <w:color w:val="222222"/>
                <w:sz w:val="20"/>
                <w:szCs w:val="20"/>
              </w:rPr>
            </w:pPr>
            <w:r w:rsidRPr="001479CC">
              <w:rPr>
                <w:rFonts w:eastAsia="Times New Roman" w:cs="Arial"/>
                <w:b/>
                <w:color w:val="222222"/>
                <w:sz w:val="20"/>
                <w:szCs w:val="20"/>
              </w:rPr>
              <w:t>Date of Revision</w:t>
            </w:r>
          </w:p>
        </w:tc>
        <w:tc>
          <w:tcPr>
            <w:tcW w:w="2214" w:type="dxa"/>
          </w:tcPr>
          <w:p w14:paraId="26BEC66E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b/>
                <w:color w:val="222222"/>
                <w:sz w:val="20"/>
                <w:szCs w:val="20"/>
              </w:rPr>
            </w:pPr>
            <w:r w:rsidRPr="001479CC">
              <w:rPr>
                <w:rFonts w:eastAsia="Times New Roman" w:cs="Arial"/>
                <w:b/>
                <w:color w:val="222222"/>
                <w:sz w:val="20"/>
                <w:szCs w:val="20"/>
              </w:rPr>
              <w:t>Policy Section(s)</w:t>
            </w:r>
          </w:p>
        </w:tc>
        <w:tc>
          <w:tcPr>
            <w:tcW w:w="4860" w:type="dxa"/>
          </w:tcPr>
          <w:p w14:paraId="7FCF26E0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b/>
                <w:color w:val="222222"/>
                <w:sz w:val="20"/>
                <w:szCs w:val="20"/>
              </w:rPr>
            </w:pPr>
            <w:r w:rsidRPr="001479CC">
              <w:rPr>
                <w:rFonts w:eastAsia="Times New Roman" w:cs="Arial"/>
                <w:b/>
                <w:color w:val="222222"/>
                <w:sz w:val="20"/>
                <w:szCs w:val="20"/>
              </w:rPr>
              <w:t>Changes Made</w:t>
            </w:r>
          </w:p>
        </w:tc>
      </w:tr>
      <w:tr w:rsidR="00C3397A" w:rsidRPr="001479CC" w14:paraId="5E2D63E7" w14:textId="77777777" w:rsidTr="004B052F">
        <w:tc>
          <w:tcPr>
            <w:tcW w:w="2214" w:type="dxa"/>
          </w:tcPr>
          <w:p w14:paraId="0566780A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color w:val="222222"/>
                <w:sz w:val="20"/>
                <w:szCs w:val="20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</w:rPr>
              <w:t>January 24, 2023</w:t>
            </w:r>
          </w:p>
        </w:tc>
        <w:tc>
          <w:tcPr>
            <w:tcW w:w="2214" w:type="dxa"/>
          </w:tcPr>
          <w:p w14:paraId="4717C856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color w:val="222222"/>
                <w:sz w:val="20"/>
                <w:szCs w:val="20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</w:rPr>
              <w:t>All</w:t>
            </w:r>
          </w:p>
        </w:tc>
        <w:tc>
          <w:tcPr>
            <w:tcW w:w="4860" w:type="dxa"/>
          </w:tcPr>
          <w:p w14:paraId="766D67A0" w14:textId="77777777" w:rsidR="00C3397A" w:rsidRPr="001479CC" w:rsidRDefault="00C3397A" w:rsidP="004B052F">
            <w:pPr>
              <w:keepNext/>
              <w:shd w:val="clear" w:color="auto" w:fill="FFFFFF"/>
              <w:rPr>
                <w:rFonts w:eastAsia="Times New Roman" w:cs="Arial"/>
                <w:color w:val="222222"/>
                <w:sz w:val="20"/>
                <w:szCs w:val="20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</w:rPr>
              <w:t>New policy established</w:t>
            </w:r>
          </w:p>
        </w:tc>
      </w:tr>
    </w:tbl>
    <w:p w14:paraId="5AC00609" w14:textId="77777777" w:rsidR="00806843" w:rsidRDefault="00806843"/>
    <w:sectPr w:rsidR="00806843" w:rsidSect="00D73C6B">
      <w:footerReference w:type="default" r:id="rId8"/>
      <w:pgSz w:w="12240" w:h="15840"/>
      <w:pgMar w:top="1440" w:right="2430" w:bottom="1440" w:left="1800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2F05" w14:textId="77777777" w:rsidR="00967836" w:rsidRDefault="00967836" w:rsidP="006137E9">
      <w:r>
        <w:separator/>
      </w:r>
    </w:p>
  </w:endnote>
  <w:endnote w:type="continuationSeparator" w:id="0">
    <w:p w14:paraId="5C4668F2" w14:textId="77777777" w:rsidR="00967836" w:rsidRDefault="00967836" w:rsidP="0061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123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9E063" w14:textId="38151A14" w:rsidR="006137E9" w:rsidRDefault="006137E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F4CE8" w14:textId="77777777" w:rsidR="006137E9" w:rsidRDefault="0061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844E" w14:textId="77777777" w:rsidR="00967836" w:rsidRDefault="00967836" w:rsidP="006137E9">
      <w:r>
        <w:separator/>
      </w:r>
    </w:p>
  </w:footnote>
  <w:footnote w:type="continuationSeparator" w:id="0">
    <w:p w14:paraId="60BA15A6" w14:textId="77777777" w:rsidR="00967836" w:rsidRDefault="00967836" w:rsidP="0061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A03"/>
    <w:multiLevelType w:val="multilevel"/>
    <w:tmpl w:val="D1ECFB5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5D75500"/>
    <w:multiLevelType w:val="multilevel"/>
    <w:tmpl w:val="B77CAF06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BFF64B7"/>
    <w:multiLevelType w:val="multilevel"/>
    <w:tmpl w:val="9CC84422"/>
    <w:lvl w:ilvl="0">
      <w:start w:val="35"/>
      <w:numFmt w:val="decimal"/>
      <w:lvlText w:val="%1"/>
      <w:lvlJc w:val="left"/>
      <w:pPr>
        <w:ind w:left="792" w:hanging="7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152" w:hanging="43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1512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506508215">
    <w:abstractNumId w:val="1"/>
  </w:num>
  <w:num w:numId="2" w16cid:durableId="927806127">
    <w:abstractNumId w:val="0"/>
  </w:num>
  <w:num w:numId="3" w16cid:durableId="56672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7A"/>
    <w:rsid w:val="005658B1"/>
    <w:rsid w:val="006137E9"/>
    <w:rsid w:val="0079212D"/>
    <w:rsid w:val="00806843"/>
    <w:rsid w:val="00967836"/>
    <w:rsid w:val="00B02EB9"/>
    <w:rsid w:val="00C3397A"/>
    <w:rsid w:val="00C65C89"/>
    <w:rsid w:val="00D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4614"/>
  <w15:chartTrackingRefBased/>
  <w15:docId w15:val="{72FBA526-15B4-4A49-9C0F-2AE504DE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7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7A"/>
    <w:pPr>
      <w:ind w:left="720"/>
      <w:contextualSpacing/>
    </w:pPr>
  </w:style>
  <w:style w:type="table" w:styleId="TableGrid">
    <w:name w:val="Table Grid"/>
    <w:basedOn w:val="TableNormal"/>
    <w:uiPriority w:val="39"/>
    <w:rsid w:val="00C3397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5C89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E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Potter</dc:creator>
  <cp:keywords/>
  <dc:description/>
  <cp:lastModifiedBy>Rick Potter</cp:lastModifiedBy>
  <cp:revision>2</cp:revision>
  <dcterms:created xsi:type="dcterms:W3CDTF">2023-02-01T03:20:00Z</dcterms:created>
  <dcterms:modified xsi:type="dcterms:W3CDTF">2023-02-01T03:20:00Z</dcterms:modified>
</cp:coreProperties>
</file>