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B625F" w14:textId="77777777" w:rsidR="00682D48" w:rsidRPr="009971D9" w:rsidRDefault="00682D48" w:rsidP="00682D48">
      <w:pPr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200" w:after="0" w:line="240" w:lineRule="auto"/>
        <w:outlineLvl w:val="1"/>
        <w:rPr>
          <w:rFonts w:eastAsiaTheme="minorEastAsia"/>
          <w:caps/>
          <w:spacing w:val="15"/>
          <w:sz w:val="28"/>
          <w:lang w:bidi="en-US"/>
        </w:rPr>
      </w:pPr>
      <w:bookmarkStart w:id="0" w:name="_Toc393949075"/>
      <w:r w:rsidRPr="009971D9">
        <w:rPr>
          <w:rFonts w:eastAsiaTheme="minorEastAsia"/>
          <w:caps/>
          <w:spacing w:val="15"/>
          <w:sz w:val="28"/>
          <w:lang w:bidi="en-US"/>
        </w:rPr>
        <w:t>Athlete</w:t>
      </w:r>
      <w:bookmarkEnd w:id="0"/>
      <w:r w:rsidRPr="009971D9">
        <w:rPr>
          <w:rFonts w:eastAsiaTheme="minorEastAsia"/>
          <w:caps/>
          <w:spacing w:val="15"/>
          <w:sz w:val="28"/>
          <w:lang w:bidi="en-US"/>
        </w:rPr>
        <w:t xml:space="preserve"> Registrations</w:t>
      </w:r>
    </w:p>
    <w:p w14:paraId="28998C16" w14:textId="77777777" w:rsidR="00682D48" w:rsidRPr="009971D9" w:rsidRDefault="00682D48" w:rsidP="00682D48">
      <w:pPr>
        <w:spacing w:before="200" w:after="200" w:line="240" w:lineRule="auto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I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A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SI has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five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categories of registrations which apply to athlete members:</w:t>
      </w:r>
    </w:p>
    <w:p w14:paraId="259FFCF6" w14:textId="5C5CE4D1" w:rsidR="00682D48" w:rsidRPr="009971D9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Premium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ab/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Traditional year-round athlete registration. Valid for the entire registration year, beginning on the date of registration through December 31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of the current registration year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. </w:t>
      </w:r>
    </w:p>
    <w:p w14:paraId="05B84276" w14:textId="026FBA37" w:rsidR="00682D48" w:rsidRPr="009971D9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Seasona</w:t>
      </w:r>
      <w:r w:rsidRPr="005262BB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l</w:t>
      </w:r>
      <w:r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/Upgrade</w:t>
      </w:r>
      <w:r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Valid for 150 days from the date of registration. </w:t>
      </w:r>
      <w:r w:rsidRPr="009971D9"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>Please note: Seasonal membership is not valid at or above the Zone Championship level.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 </w:t>
      </w:r>
      <w:r w:rsidR="0077545A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Current-year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Seasonal members may “upgrade” to Premium membership </w:t>
      </w:r>
      <w:r w:rsidR="006E4E93">
        <w:rPr>
          <w:rFonts w:ascii="Calibri" w:eastAsiaTheme="minorEastAsia" w:hAnsi="Calibri"/>
          <w:color w:val="000000"/>
          <w:sz w:val="24"/>
          <w:szCs w:val="24"/>
          <w:lang w:bidi="en-US"/>
        </w:rPr>
        <w:t>(prior to expiration of their Seasonal registration)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, by paying the difference between Seasonal and Premium.</w:t>
      </w:r>
      <w:r w:rsidR="00CB196D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Seasonal registration can only be Upgraded to Premium </w:t>
      </w:r>
      <w:r w:rsidR="00CB196D" w:rsidRPr="00CB196D">
        <w:rPr>
          <w:rFonts w:ascii="Calibri" w:eastAsiaTheme="minorEastAsia" w:hAnsi="Calibri"/>
          <w:i/>
          <w:iCs/>
          <w:color w:val="000000"/>
          <w:sz w:val="24"/>
          <w:szCs w:val="24"/>
          <w:lang w:bidi="en-US"/>
        </w:rPr>
        <w:t>prior to the date of expiration</w:t>
      </w:r>
      <w:r w:rsidR="00CB196D">
        <w:rPr>
          <w:rFonts w:ascii="Calibri" w:eastAsiaTheme="minorEastAsia" w:hAnsi="Calibri"/>
          <w:color w:val="000000"/>
          <w:sz w:val="24"/>
          <w:szCs w:val="24"/>
          <w:lang w:bidi="en-US"/>
        </w:rPr>
        <w:t>. After the Seasonal expiration date has passed, Upgrade will no longer be an option, and the athlete may only be renewed as Premium.</w:t>
      </w:r>
    </w:p>
    <w:p w14:paraId="08DA5B39" w14:textId="58CC7A24" w:rsidR="00682D48" w:rsidRPr="009971D9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Flex/Upgrade</w:t>
      </w: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 w:rsidR="00C83953" w:rsidRPr="00C83953"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>For 12&amp;U only.</w:t>
      </w:r>
      <w:r w:rsidR="00C83953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Valid for the entire registration year, beginning on the date of registration through December 31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of the current registration year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.</w:t>
      </w:r>
      <w:r w:rsidRPr="009971D9">
        <w:rPr>
          <w:rFonts w:ascii="Calibri" w:eastAsiaTheme="minorEastAsia" w:hAnsi="Calibri"/>
          <w:sz w:val="24"/>
          <w:szCs w:val="24"/>
          <w:lang w:bidi="en-US"/>
        </w:rPr>
        <w:t xml:space="preserve"> Flex members are eligible to compete in two sanctioned competitions per registration year. </w:t>
      </w:r>
      <w:r w:rsidR="00C83953">
        <w:rPr>
          <w:rFonts w:ascii="Calibri" w:eastAsiaTheme="minorEastAsia" w:hAnsi="Calibri"/>
          <w:sz w:val="24"/>
          <w:szCs w:val="24"/>
          <w:lang w:bidi="en-US"/>
        </w:rPr>
        <w:t xml:space="preserve"> </w:t>
      </w:r>
    </w:p>
    <w:p w14:paraId="3BEA4F95" w14:textId="764C3E8F" w:rsidR="00682D48" w:rsidRPr="00682D48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b/>
          <w:color w:val="000000"/>
          <w:sz w:val="24"/>
          <w:szCs w:val="24"/>
          <w:lang w:bidi="en-US"/>
        </w:rPr>
        <w:t>Please note:</w:t>
      </w:r>
      <w:r w:rsidRPr="009971D9">
        <w:rPr>
          <w:rFonts w:ascii="Calibri" w:eastAsiaTheme="minorEastAsia" w:hAnsi="Calibri"/>
          <w:b/>
          <w:sz w:val="24"/>
          <w:szCs w:val="24"/>
          <w:lang w:bidi="en-US"/>
        </w:rPr>
        <w:t xml:space="preserve"> Flex membership is not valid at or above the LSC Championship level.</w:t>
      </w:r>
      <w:r>
        <w:rPr>
          <w:rFonts w:ascii="Calibri" w:eastAsiaTheme="minorEastAsia" w:hAnsi="Calibri"/>
          <w:b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sz w:val="24"/>
          <w:szCs w:val="24"/>
          <w:lang w:bidi="en-US"/>
        </w:rPr>
        <w:t xml:space="preserve">Flex members may upgrade to Premium membership within the same registration year, </w:t>
      </w:r>
      <w:r>
        <w:rPr>
          <w:rFonts w:ascii="Calibri" w:eastAsiaTheme="minorEastAsia" w:hAnsi="Calibri"/>
          <w:sz w:val="24"/>
          <w:szCs w:val="24"/>
          <w:lang w:bidi="en-US"/>
        </w:rPr>
        <w:t xml:space="preserve">by </w:t>
      </w:r>
      <w:r w:rsidRPr="009971D9">
        <w:rPr>
          <w:rFonts w:ascii="Calibri" w:eastAsiaTheme="minorEastAsia" w:hAnsi="Calibri"/>
          <w:sz w:val="24"/>
          <w:szCs w:val="24"/>
          <w:lang w:bidi="en-US"/>
        </w:rPr>
        <w:t>paying the difference between the cost of Flex and Premium.</w:t>
      </w:r>
    </w:p>
    <w:p w14:paraId="26FBD19C" w14:textId="045CA97B" w:rsidR="00682D48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Outreach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ab/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ab/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Valid for the entire registration year, beginning on the date of registration through December 31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of the current registration year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. Outreach applicants must meet eligibility criteria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.</w:t>
      </w:r>
      <w:r w:rsidR="008260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Please contact </w:t>
      </w:r>
      <w:hyperlink r:id="rId4" w:history="1">
        <w:r w:rsidR="008260D9" w:rsidRPr="0032241F">
          <w:rPr>
            <w:rStyle w:val="Hyperlink"/>
            <w:rFonts w:ascii="Calibri" w:eastAsiaTheme="minorEastAsia" w:hAnsi="Calibri"/>
            <w:sz w:val="24"/>
            <w:szCs w:val="24"/>
            <w:lang w:bidi="en-US"/>
          </w:rPr>
          <w:t>jen@iaswim.org</w:t>
        </w:r>
      </w:hyperlink>
      <w:r w:rsidR="008260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for complete Outreach information.</w:t>
      </w:r>
    </w:p>
    <w:p w14:paraId="79C34DA4" w14:textId="77777777" w:rsidR="00682D48" w:rsidRDefault="00682D48" w:rsidP="00682D48">
      <w:pPr>
        <w:tabs>
          <w:tab w:val="left" w:pos="720"/>
          <w:tab w:val="left" w:pos="1440"/>
          <w:tab w:val="left" w:pos="2160"/>
        </w:tabs>
        <w:spacing w:after="0" w:line="240" w:lineRule="auto"/>
        <w:ind w:left="2160" w:hanging="2160"/>
        <w:rPr>
          <w:rFonts w:ascii="Calibri" w:eastAsiaTheme="minorEastAsia" w:hAnsi="Calibri"/>
          <w:color w:val="000000"/>
          <w:sz w:val="24"/>
          <w:szCs w:val="24"/>
          <w:lang w:bidi="en-US"/>
        </w:rPr>
      </w:pPr>
    </w:p>
    <w:p w14:paraId="25A51648" w14:textId="2186C79F" w:rsidR="00682D48" w:rsidRDefault="00682D48" w:rsidP="00BE470C">
      <w:pPr>
        <w:tabs>
          <w:tab w:val="left" w:pos="720"/>
          <w:tab w:val="left" w:pos="1440"/>
          <w:tab w:val="left" w:pos="2160"/>
        </w:tabs>
        <w:spacing w:after="0" w:line="240" w:lineRule="auto"/>
        <w:ind w:left="2880" w:hanging="2880"/>
        <w:rPr>
          <w:rFonts w:ascii="Calibri" w:eastAsiaTheme="minorEastAsia" w:hAnsi="Calibri"/>
          <w:bCs/>
          <w:iCs/>
          <w:color w:val="000000"/>
          <w:sz w:val="24"/>
          <w:szCs w:val="24"/>
          <w:lang w:bidi="en-US"/>
        </w:rPr>
      </w:pPr>
      <w:r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>Single Meet Open</w:t>
      </w:r>
      <w:r w:rsidR="00BE470C"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 xml:space="preserve"> Water</w:t>
      </w:r>
      <w:r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 xml:space="preserve"> </w:t>
      </w:r>
      <w:r>
        <w:rPr>
          <w:rFonts w:ascii="Calibri" w:eastAsiaTheme="minorEastAsia" w:hAnsi="Calibri"/>
          <w:b/>
          <w:i/>
          <w:color w:val="000000"/>
          <w:sz w:val="24"/>
          <w:szCs w:val="24"/>
          <w:lang w:bidi="en-US"/>
        </w:rPr>
        <w:tab/>
      </w:r>
      <w:r>
        <w:rPr>
          <w:rFonts w:ascii="Calibri" w:eastAsiaTheme="minorEastAsia" w:hAnsi="Calibri"/>
          <w:bCs/>
          <w:iCs/>
          <w:color w:val="000000"/>
          <w:sz w:val="24"/>
          <w:szCs w:val="24"/>
          <w:lang w:bidi="en-US"/>
        </w:rPr>
        <w:t xml:space="preserve">Valid for a single Open Water meet </w:t>
      </w:r>
      <w:r w:rsidRPr="00A55960"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>below the Zone, Sectional an</w:t>
      </w:r>
      <w:r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 xml:space="preserve">d </w:t>
      </w:r>
      <w:r w:rsidRPr="00A55960"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>Nation</w:t>
      </w:r>
      <w:r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 xml:space="preserve">al </w:t>
      </w:r>
      <w:r w:rsidRPr="00A55960"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  <w:t>levels</w:t>
      </w:r>
      <w:r>
        <w:rPr>
          <w:rFonts w:ascii="Calibri" w:eastAsiaTheme="minorEastAsia" w:hAnsi="Calibri"/>
          <w:bCs/>
          <w:iCs/>
          <w:color w:val="000000"/>
          <w:sz w:val="24"/>
          <w:szCs w:val="24"/>
          <w:lang w:bidi="en-US"/>
        </w:rPr>
        <w:t xml:space="preserve">. </w:t>
      </w:r>
    </w:p>
    <w:p w14:paraId="4AA4DDDA" w14:textId="31DFCBCA" w:rsidR="002A7E27" w:rsidRDefault="002A7E27" w:rsidP="00BE470C">
      <w:pPr>
        <w:tabs>
          <w:tab w:val="left" w:pos="720"/>
          <w:tab w:val="left" w:pos="1440"/>
          <w:tab w:val="left" w:pos="2160"/>
        </w:tabs>
        <w:spacing w:after="0" w:line="240" w:lineRule="auto"/>
        <w:ind w:left="2880" w:hanging="2880"/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</w:pPr>
    </w:p>
    <w:p w14:paraId="33208E39" w14:textId="5AC77AC5" w:rsidR="002A7E27" w:rsidRPr="009971D9" w:rsidRDefault="002A7E27" w:rsidP="002A7E27">
      <w:pPr>
        <w:spacing w:before="200" w:after="200" w:line="276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An Athlete is legally registered for all purposes on the date the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registration is completed online and payment is made.</w:t>
      </w:r>
    </w:p>
    <w:p w14:paraId="7199C4D2" w14:textId="77777777" w:rsidR="002A7E27" w:rsidRPr="005262BB" w:rsidRDefault="002A7E27" w:rsidP="00BE470C">
      <w:pPr>
        <w:tabs>
          <w:tab w:val="left" w:pos="720"/>
          <w:tab w:val="left" w:pos="1440"/>
          <w:tab w:val="left" w:pos="2160"/>
        </w:tabs>
        <w:spacing w:after="0" w:line="240" w:lineRule="auto"/>
        <w:ind w:left="2880" w:hanging="2880"/>
        <w:rPr>
          <w:rFonts w:ascii="Calibri" w:eastAsiaTheme="minorEastAsia" w:hAnsi="Calibri"/>
          <w:b/>
          <w:iCs/>
          <w:color w:val="000000"/>
          <w:sz w:val="24"/>
          <w:szCs w:val="24"/>
          <w:lang w:bidi="en-US"/>
        </w:rPr>
      </w:pPr>
    </w:p>
    <w:p w14:paraId="44306501" w14:textId="66A7C1AE" w:rsidR="00000000" w:rsidRDefault="00000000"/>
    <w:p w14:paraId="4CBE1EA8" w14:textId="1D9F9D6A" w:rsidR="007A4D44" w:rsidRDefault="007A4D44">
      <w:r>
        <w:t>202</w:t>
      </w:r>
      <w:r w:rsidR="008260D9">
        <w:t>4</w:t>
      </w:r>
      <w:r>
        <w:t>_</w:t>
      </w:r>
      <w:r w:rsidR="008260D9">
        <w:t>7</w:t>
      </w:r>
    </w:p>
    <w:sectPr w:rsidR="007A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48"/>
    <w:rsid w:val="002A7E27"/>
    <w:rsid w:val="00573E86"/>
    <w:rsid w:val="00682D48"/>
    <w:rsid w:val="006A0145"/>
    <w:rsid w:val="006E4E93"/>
    <w:rsid w:val="0077545A"/>
    <w:rsid w:val="007A4D44"/>
    <w:rsid w:val="008214F7"/>
    <w:rsid w:val="008260D9"/>
    <w:rsid w:val="00861791"/>
    <w:rsid w:val="00BE470C"/>
    <w:rsid w:val="00C83953"/>
    <w:rsid w:val="00CB196D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8A35"/>
  <w15:chartTrackingRefBased/>
  <w15:docId w15:val="{8BBDE562-053C-4843-A4D4-10E8C56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@iaswi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9</cp:revision>
  <dcterms:created xsi:type="dcterms:W3CDTF">2022-08-01T17:19:00Z</dcterms:created>
  <dcterms:modified xsi:type="dcterms:W3CDTF">2024-07-26T15:43:00Z</dcterms:modified>
</cp:coreProperties>
</file>