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Look w:val="04A0" w:firstRow="1" w:lastRow="0" w:firstColumn="1" w:lastColumn="0" w:noHBand="0" w:noVBand="1"/>
      </w:tblPr>
      <w:tblGrid>
        <w:gridCol w:w="3160"/>
        <w:gridCol w:w="2601"/>
        <w:gridCol w:w="3589"/>
      </w:tblGrid>
      <w:tr w:rsidR="00C3675F" w:rsidRPr="00C3675F" w14:paraId="04EBE575" w14:textId="77777777" w:rsidTr="00B648F8">
        <w:tc>
          <w:tcPr>
            <w:tcW w:w="3467" w:type="dxa"/>
          </w:tcPr>
          <w:p w14:paraId="6E48D754" w14:textId="6414B97C" w:rsidR="00C3675F" w:rsidRPr="00C3675F" w:rsidRDefault="00C3675F" w:rsidP="00C3675F">
            <w:pPr>
              <w:spacing w:before="60" w:after="60" w:line="276" w:lineRule="auto"/>
              <w:jc w:val="center"/>
              <w:rPr>
                <w:rFonts w:ascii="Arial" w:hAnsi="Arial" w:cs="Arial"/>
                <w:b/>
                <w:bCs/>
              </w:rPr>
            </w:pPr>
            <w:r w:rsidRPr="00C3675F">
              <w:rPr>
                <w:rFonts w:ascii="Arial" w:hAnsi="Arial" w:cs="Arial"/>
                <w:b/>
                <w:bCs/>
                <w:noProof/>
              </w:rPr>
              <w:drawing>
                <wp:inline distT="0" distB="0" distL="0" distR="0" wp14:anchorId="562D8C13" wp14:editId="2C639F4D">
                  <wp:extent cx="1242060" cy="1047815"/>
                  <wp:effectExtent l="0" t="0" r="0" b="0"/>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TAH-SWIMMING-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58393" cy="1061594"/>
                          </a:xfrm>
                          <a:prstGeom prst="rect">
                            <a:avLst/>
                          </a:prstGeom>
                        </pic:spPr>
                      </pic:pic>
                    </a:graphicData>
                  </a:graphic>
                </wp:inline>
              </w:drawing>
            </w:r>
          </w:p>
        </w:tc>
        <w:tc>
          <w:tcPr>
            <w:tcW w:w="7441" w:type="dxa"/>
            <w:gridSpan w:val="2"/>
            <w:vAlign w:val="center"/>
          </w:tcPr>
          <w:p w14:paraId="7B79A640" w14:textId="77777777" w:rsidR="00C3675F" w:rsidRPr="00C3675F" w:rsidRDefault="00C3675F" w:rsidP="00C3675F">
            <w:pPr>
              <w:spacing w:before="60" w:after="60" w:line="276" w:lineRule="auto"/>
              <w:jc w:val="center"/>
              <w:rPr>
                <w:rFonts w:ascii="Arial" w:hAnsi="Arial" w:cs="Arial"/>
                <w:sz w:val="32"/>
                <w:szCs w:val="32"/>
              </w:rPr>
            </w:pPr>
            <w:r w:rsidRPr="00C3675F">
              <w:rPr>
                <w:rFonts w:ascii="Arial" w:hAnsi="Arial" w:cs="Arial"/>
                <w:sz w:val="32"/>
                <w:szCs w:val="32"/>
              </w:rPr>
              <w:t>Policies and Procedures</w:t>
            </w:r>
          </w:p>
        </w:tc>
      </w:tr>
      <w:tr w:rsidR="00C3675F" w:rsidRPr="00C3675F" w14:paraId="3EF4F37B" w14:textId="77777777" w:rsidTr="00B648F8">
        <w:tc>
          <w:tcPr>
            <w:tcW w:w="3467" w:type="dxa"/>
          </w:tcPr>
          <w:p w14:paraId="68CE64E3" w14:textId="3140B1ED" w:rsidR="00C3675F" w:rsidRPr="0015723E" w:rsidRDefault="00C3675F" w:rsidP="00C3675F">
            <w:pPr>
              <w:rPr>
                <w:rFonts w:cstheme="minorHAnsi"/>
              </w:rPr>
            </w:pPr>
            <w:r w:rsidRPr="0015723E">
              <w:rPr>
                <w:rFonts w:cstheme="minorHAnsi"/>
              </w:rPr>
              <w:t xml:space="preserve">Subject: </w:t>
            </w:r>
            <w:r w:rsidR="00A149C5" w:rsidRPr="0015723E">
              <w:rPr>
                <w:rFonts w:cstheme="minorHAnsi"/>
              </w:rPr>
              <w:t>Investment</w:t>
            </w:r>
          </w:p>
        </w:tc>
        <w:tc>
          <w:tcPr>
            <w:tcW w:w="3053" w:type="dxa"/>
          </w:tcPr>
          <w:p w14:paraId="510138D2" w14:textId="2373941E" w:rsidR="00C3675F" w:rsidRPr="0015723E" w:rsidRDefault="00C3675F" w:rsidP="00C3675F">
            <w:pPr>
              <w:spacing w:line="276" w:lineRule="auto"/>
              <w:rPr>
                <w:rFonts w:cstheme="minorHAnsi"/>
              </w:rPr>
            </w:pPr>
            <w:r w:rsidRPr="0015723E">
              <w:rPr>
                <w:rFonts w:cstheme="minorHAnsi"/>
              </w:rPr>
              <w:t>Document Number: 43</w:t>
            </w:r>
            <w:r w:rsidR="00A149C5" w:rsidRPr="0015723E">
              <w:rPr>
                <w:rFonts w:cstheme="minorHAnsi"/>
              </w:rPr>
              <w:t>2</w:t>
            </w:r>
          </w:p>
          <w:p w14:paraId="36EDC0C2" w14:textId="008AF897" w:rsidR="00C3675F" w:rsidRPr="0015723E" w:rsidRDefault="00C3675F" w:rsidP="00C3675F">
            <w:pPr>
              <w:spacing w:line="276" w:lineRule="auto"/>
              <w:rPr>
                <w:rFonts w:cstheme="minorHAnsi"/>
              </w:rPr>
            </w:pPr>
            <w:r w:rsidRPr="0015723E">
              <w:rPr>
                <w:rFonts w:cstheme="minorHAnsi"/>
              </w:rPr>
              <w:t xml:space="preserve">Version Number: </w:t>
            </w:r>
            <w:r w:rsidR="0007713F">
              <w:rPr>
                <w:rFonts w:cstheme="minorHAnsi"/>
              </w:rPr>
              <w:t>2</w:t>
            </w:r>
          </w:p>
        </w:tc>
        <w:tc>
          <w:tcPr>
            <w:tcW w:w="4388" w:type="dxa"/>
          </w:tcPr>
          <w:p w14:paraId="5A089E9A" w14:textId="49EFA7FE" w:rsidR="00C3675F" w:rsidRPr="0015723E" w:rsidRDefault="00C3675F" w:rsidP="00C3675F">
            <w:pPr>
              <w:rPr>
                <w:rFonts w:cstheme="minorHAnsi"/>
              </w:rPr>
            </w:pPr>
            <w:r w:rsidRPr="0015723E">
              <w:rPr>
                <w:rFonts w:cstheme="minorHAnsi"/>
              </w:rPr>
              <w:t>Effective Date</w:t>
            </w:r>
            <w:r w:rsidR="00A149C5" w:rsidRPr="0015723E">
              <w:rPr>
                <w:rFonts w:cstheme="minorHAnsi"/>
              </w:rPr>
              <w:t>:</w:t>
            </w:r>
            <w:r w:rsidR="0015723E" w:rsidRPr="0015723E">
              <w:rPr>
                <w:rFonts w:cstheme="minorHAnsi"/>
              </w:rPr>
              <w:t xml:space="preserve"> May 12, 2020</w:t>
            </w:r>
          </w:p>
          <w:p w14:paraId="17B968C4" w14:textId="468824DF" w:rsidR="00C3675F" w:rsidRPr="0015723E" w:rsidRDefault="00C3675F" w:rsidP="00C3675F">
            <w:pPr>
              <w:rPr>
                <w:rFonts w:cstheme="minorHAnsi"/>
              </w:rPr>
            </w:pPr>
            <w:r w:rsidRPr="0015723E">
              <w:rPr>
                <w:rFonts w:cstheme="minorHAnsi"/>
              </w:rPr>
              <w:t xml:space="preserve">Last Revision: </w:t>
            </w:r>
            <w:r w:rsidR="0007713F">
              <w:rPr>
                <w:rFonts w:cstheme="minorHAnsi"/>
              </w:rPr>
              <w:t>February 2, 2021</w:t>
            </w:r>
          </w:p>
        </w:tc>
      </w:tr>
    </w:tbl>
    <w:p w14:paraId="505360FE" w14:textId="77777777" w:rsidR="002069DC" w:rsidRDefault="002069DC" w:rsidP="002069DC"/>
    <w:sdt>
      <w:sdtPr>
        <w:rPr>
          <w:rFonts w:asciiTheme="minorHAnsi" w:eastAsiaTheme="minorHAnsi" w:hAnsiTheme="minorHAnsi" w:cstheme="minorBidi"/>
          <w:color w:val="auto"/>
          <w:sz w:val="22"/>
          <w:szCs w:val="22"/>
        </w:rPr>
        <w:id w:val="350307790"/>
        <w:docPartObj>
          <w:docPartGallery w:val="Table of Contents"/>
          <w:docPartUnique/>
        </w:docPartObj>
      </w:sdtPr>
      <w:sdtEndPr>
        <w:rPr>
          <w:b/>
          <w:bCs/>
          <w:noProof/>
        </w:rPr>
      </w:sdtEndPr>
      <w:sdtContent>
        <w:p w14:paraId="2BF50A9A" w14:textId="3986FBA5" w:rsidR="00C3675F" w:rsidRDefault="00C3675F">
          <w:pPr>
            <w:pStyle w:val="TOCHeading"/>
          </w:pPr>
          <w:r>
            <w:t>Table of Contents</w:t>
          </w:r>
        </w:p>
        <w:p w14:paraId="55B7D809" w14:textId="19D97B80" w:rsidR="00355716" w:rsidRDefault="00C3675F">
          <w:pPr>
            <w:pStyle w:val="TOC1"/>
            <w:tabs>
              <w:tab w:val="left" w:pos="440"/>
              <w:tab w:val="right" w:leader="dot" w:pos="9350"/>
            </w:tabs>
            <w:rPr>
              <w:rFonts w:eastAsiaTheme="minorEastAsia"/>
              <w:noProof/>
            </w:rPr>
          </w:pPr>
          <w:r>
            <w:fldChar w:fldCharType="begin"/>
          </w:r>
          <w:r>
            <w:instrText xml:space="preserve"> TOC \o "1-3" \h \z \u </w:instrText>
          </w:r>
          <w:r>
            <w:fldChar w:fldCharType="separate"/>
          </w:r>
          <w:hyperlink w:anchor="_Toc63852707" w:history="1">
            <w:r w:rsidR="00355716" w:rsidRPr="00871606">
              <w:rPr>
                <w:rStyle w:val="Hyperlink"/>
                <w:rFonts w:asciiTheme="majorHAnsi" w:eastAsiaTheme="majorEastAsia" w:hAnsiTheme="majorHAnsi" w:cstheme="majorBidi"/>
                <w:noProof/>
              </w:rPr>
              <w:t>1.</w:t>
            </w:r>
            <w:r w:rsidR="00355716">
              <w:rPr>
                <w:rFonts w:eastAsiaTheme="minorEastAsia"/>
                <w:noProof/>
              </w:rPr>
              <w:tab/>
            </w:r>
            <w:r w:rsidR="00355716" w:rsidRPr="00871606">
              <w:rPr>
                <w:rStyle w:val="Hyperlink"/>
                <w:rFonts w:asciiTheme="majorHAnsi" w:eastAsiaTheme="majorEastAsia" w:hAnsiTheme="majorHAnsi" w:cstheme="majorBidi"/>
                <w:noProof/>
              </w:rPr>
              <w:t>POLICY OVERVIEW</w:t>
            </w:r>
            <w:r w:rsidR="00355716">
              <w:rPr>
                <w:noProof/>
                <w:webHidden/>
              </w:rPr>
              <w:tab/>
            </w:r>
            <w:r w:rsidR="00355716">
              <w:rPr>
                <w:noProof/>
                <w:webHidden/>
              </w:rPr>
              <w:fldChar w:fldCharType="begin"/>
            </w:r>
            <w:r w:rsidR="00355716">
              <w:rPr>
                <w:noProof/>
                <w:webHidden/>
              </w:rPr>
              <w:instrText xml:space="preserve"> PAGEREF _Toc63852707 \h </w:instrText>
            </w:r>
            <w:r w:rsidR="00355716">
              <w:rPr>
                <w:noProof/>
                <w:webHidden/>
              </w:rPr>
            </w:r>
            <w:r w:rsidR="00355716">
              <w:rPr>
                <w:noProof/>
                <w:webHidden/>
              </w:rPr>
              <w:fldChar w:fldCharType="separate"/>
            </w:r>
            <w:r w:rsidR="00371BF4">
              <w:rPr>
                <w:noProof/>
                <w:webHidden/>
              </w:rPr>
              <w:t>2</w:t>
            </w:r>
            <w:r w:rsidR="00355716">
              <w:rPr>
                <w:noProof/>
                <w:webHidden/>
              </w:rPr>
              <w:fldChar w:fldCharType="end"/>
            </w:r>
          </w:hyperlink>
        </w:p>
        <w:p w14:paraId="08E7A6B1" w14:textId="28752CDA" w:rsidR="00355716" w:rsidRDefault="00355716">
          <w:pPr>
            <w:pStyle w:val="TOC1"/>
            <w:tabs>
              <w:tab w:val="left" w:pos="440"/>
              <w:tab w:val="right" w:leader="dot" w:pos="9350"/>
            </w:tabs>
            <w:rPr>
              <w:rFonts w:eastAsiaTheme="minorEastAsia"/>
              <w:noProof/>
            </w:rPr>
          </w:pPr>
          <w:hyperlink w:anchor="_Toc63852708" w:history="1">
            <w:r w:rsidRPr="00871606">
              <w:rPr>
                <w:rStyle w:val="Hyperlink"/>
                <w:rFonts w:asciiTheme="majorHAnsi" w:eastAsiaTheme="majorEastAsia" w:hAnsiTheme="majorHAnsi" w:cstheme="majorBidi"/>
                <w:noProof/>
              </w:rPr>
              <w:t>2.</w:t>
            </w:r>
            <w:r>
              <w:rPr>
                <w:rFonts w:eastAsiaTheme="minorEastAsia"/>
                <w:noProof/>
              </w:rPr>
              <w:tab/>
            </w:r>
            <w:r w:rsidRPr="00871606">
              <w:rPr>
                <w:rStyle w:val="Hyperlink"/>
                <w:rFonts w:asciiTheme="majorHAnsi" w:eastAsiaTheme="majorEastAsia" w:hAnsiTheme="majorHAnsi" w:cstheme="majorBidi"/>
                <w:noProof/>
              </w:rPr>
              <w:t>PURPOSE OF POLICY</w:t>
            </w:r>
            <w:r>
              <w:rPr>
                <w:noProof/>
                <w:webHidden/>
              </w:rPr>
              <w:tab/>
            </w:r>
            <w:r>
              <w:rPr>
                <w:noProof/>
                <w:webHidden/>
              </w:rPr>
              <w:fldChar w:fldCharType="begin"/>
            </w:r>
            <w:r>
              <w:rPr>
                <w:noProof/>
                <w:webHidden/>
              </w:rPr>
              <w:instrText xml:space="preserve"> PAGEREF _Toc63852708 \h </w:instrText>
            </w:r>
            <w:r>
              <w:rPr>
                <w:noProof/>
                <w:webHidden/>
              </w:rPr>
            </w:r>
            <w:r>
              <w:rPr>
                <w:noProof/>
                <w:webHidden/>
              </w:rPr>
              <w:fldChar w:fldCharType="separate"/>
            </w:r>
            <w:r w:rsidR="00371BF4">
              <w:rPr>
                <w:noProof/>
                <w:webHidden/>
              </w:rPr>
              <w:t>2</w:t>
            </w:r>
            <w:r>
              <w:rPr>
                <w:noProof/>
                <w:webHidden/>
              </w:rPr>
              <w:fldChar w:fldCharType="end"/>
            </w:r>
          </w:hyperlink>
        </w:p>
        <w:p w14:paraId="39F28A7A" w14:textId="516FFA61" w:rsidR="00355716" w:rsidRDefault="00355716">
          <w:pPr>
            <w:pStyle w:val="TOC1"/>
            <w:tabs>
              <w:tab w:val="left" w:pos="440"/>
              <w:tab w:val="right" w:leader="dot" w:pos="9350"/>
            </w:tabs>
            <w:rPr>
              <w:rFonts w:eastAsiaTheme="minorEastAsia"/>
              <w:noProof/>
            </w:rPr>
          </w:pPr>
          <w:hyperlink w:anchor="_Toc63852709" w:history="1">
            <w:r w:rsidRPr="00871606">
              <w:rPr>
                <w:rStyle w:val="Hyperlink"/>
                <w:rFonts w:asciiTheme="majorHAnsi" w:eastAsiaTheme="majorEastAsia" w:hAnsiTheme="majorHAnsi" w:cstheme="majorBidi"/>
                <w:noProof/>
              </w:rPr>
              <w:t>3.</w:t>
            </w:r>
            <w:r>
              <w:rPr>
                <w:rFonts w:eastAsiaTheme="minorEastAsia"/>
                <w:noProof/>
              </w:rPr>
              <w:tab/>
            </w:r>
            <w:r w:rsidRPr="00871606">
              <w:rPr>
                <w:rStyle w:val="Hyperlink"/>
                <w:rFonts w:asciiTheme="majorHAnsi" w:eastAsiaTheme="majorEastAsia" w:hAnsiTheme="majorHAnsi" w:cstheme="majorBidi"/>
                <w:noProof/>
              </w:rPr>
              <w:t>DEFINITIONS</w:t>
            </w:r>
            <w:r>
              <w:rPr>
                <w:noProof/>
                <w:webHidden/>
              </w:rPr>
              <w:tab/>
            </w:r>
            <w:r>
              <w:rPr>
                <w:noProof/>
                <w:webHidden/>
              </w:rPr>
              <w:fldChar w:fldCharType="begin"/>
            </w:r>
            <w:r>
              <w:rPr>
                <w:noProof/>
                <w:webHidden/>
              </w:rPr>
              <w:instrText xml:space="preserve"> PAGEREF _Toc63852709 \h </w:instrText>
            </w:r>
            <w:r>
              <w:rPr>
                <w:noProof/>
                <w:webHidden/>
              </w:rPr>
            </w:r>
            <w:r>
              <w:rPr>
                <w:noProof/>
                <w:webHidden/>
              </w:rPr>
              <w:fldChar w:fldCharType="separate"/>
            </w:r>
            <w:r w:rsidR="00371BF4">
              <w:rPr>
                <w:noProof/>
                <w:webHidden/>
              </w:rPr>
              <w:t>2</w:t>
            </w:r>
            <w:r>
              <w:rPr>
                <w:noProof/>
                <w:webHidden/>
              </w:rPr>
              <w:fldChar w:fldCharType="end"/>
            </w:r>
          </w:hyperlink>
        </w:p>
        <w:p w14:paraId="28B72A50" w14:textId="268599B3" w:rsidR="00355716" w:rsidRDefault="00355716">
          <w:pPr>
            <w:pStyle w:val="TOC1"/>
            <w:tabs>
              <w:tab w:val="left" w:pos="440"/>
              <w:tab w:val="right" w:leader="dot" w:pos="9350"/>
            </w:tabs>
            <w:rPr>
              <w:rFonts w:eastAsiaTheme="minorEastAsia"/>
              <w:noProof/>
            </w:rPr>
          </w:pPr>
          <w:hyperlink w:anchor="_Toc63852710" w:history="1">
            <w:r w:rsidRPr="00871606">
              <w:rPr>
                <w:rStyle w:val="Hyperlink"/>
                <w:noProof/>
              </w:rPr>
              <w:t>4.</w:t>
            </w:r>
            <w:r>
              <w:rPr>
                <w:rFonts w:eastAsiaTheme="minorEastAsia"/>
                <w:noProof/>
              </w:rPr>
              <w:tab/>
            </w:r>
            <w:r w:rsidRPr="00871606">
              <w:rPr>
                <w:rStyle w:val="Hyperlink"/>
                <w:noProof/>
              </w:rPr>
              <w:t>GOALS AND OBJECTIVES</w:t>
            </w:r>
            <w:r>
              <w:rPr>
                <w:noProof/>
                <w:webHidden/>
              </w:rPr>
              <w:tab/>
            </w:r>
            <w:r>
              <w:rPr>
                <w:noProof/>
                <w:webHidden/>
              </w:rPr>
              <w:fldChar w:fldCharType="begin"/>
            </w:r>
            <w:r>
              <w:rPr>
                <w:noProof/>
                <w:webHidden/>
              </w:rPr>
              <w:instrText xml:space="preserve"> PAGEREF _Toc63852710 \h </w:instrText>
            </w:r>
            <w:r>
              <w:rPr>
                <w:noProof/>
                <w:webHidden/>
              </w:rPr>
            </w:r>
            <w:r>
              <w:rPr>
                <w:noProof/>
                <w:webHidden/>
              </w:rPr>
              <w:fldChar w:fldCharType="separate"/>
            </w:r>
            <w:r w:rsidR="00371BF4">
              <w:rPr>
                <w:noProof/>
                <w:webHidden/>
              </w:rPr>
              <w:t>3</w:t>
            </w:r>
            <w:r>
              <w:rPr>
                <w:noProof/>
                <w:webHidden/>
              </w:rPr>
              <w:fldChar w:fldCharType="end"/>
            </w:r>
          </w:hyperlink>
        </w:p>
        <w:p w14:paraId="15DEF730" w14:textId="60B818D3" w:rsidR="00355716" w:rsidRDefault="00355716">
          <w:pPr>
            <w:pStyle w:val="TOC2"/>
            <w:tabs>
              <w:tab w:val="left" w:pos="880"/>
              <w:tab w:val="right" w:leader="dot" w:pos="9350"/>
            </w:tabs>
            <w:rPr>
              <w:rFonts w:eastAsiaTheme="minorEastAsia"/>
              <w:noProof/>
            </w:rPr>
          </w:pPr>
          <w:hyperlink w:anchor="_Toc63852711" w:history="1">
            <w:r w:rsidRPr="00871606">
              <w:rPr>
                <w:rStyle w:val="Hyperlink"/>
                <w:noProof/>
              </w:rPr>
              <w:t>4.1.</w:t>
            </w:r>
            <w:r>
              <w:rPr>
                <w:rFonts w:eastAsiaTheme="minorEastAsia"/>
                <w:noProof/>
              </w:rPr>
              <w:tab/>
            </w:r>
            <w:r w:rsidRPr="00871606">
              <w:rPr>
                <w:rStyle w:val="Hyperlink"/>
                <w:noProof/>
              </w:rPr>
              <w:t>Portfolio Goals</w:t>
            </w:r>
            <w:r>
              <w:rPr>
                <w:noProof/>
                <w:webHidden/>
              </w:rPr>
              <w:tab/>
            </w:r>
            <w:r>
              <w:rPr>
                <w:noProof/>
                <w:webHidden/>
              </w:rPr>
              <w:fldChar w:fldCharType="begin"/>
            </w:r>
            <w:r>
              <w:rPr>
                <w:noProof/>
                <w:webHidden/>
              </w:rPr>
              <w:instrText xml:space="preserve"> PAGEREF _Toc63852711 \h </w:instrText>
            </w:r>
            <w:r>
              <w:rPr>
                <w:noProof/>
                <w:webHidden/>
              </w:rPr>
            </w:r>
            <w:r>
              <w:rPr>
                <w:noProof/>
                <w:webHidden/>
              </w:rPr>
              <w:fldChar w:fldCharType="separate"/>
            </w:r>
            <w:r w:rsidR="00371BF4">
              <w:rPr>
                <w:noProof/>
                <w:webHidden/>
              </w:rPr>
              <w:t>3</w:t>
            </w:r>
            <w:r>
              <w:rPr>
                <w:noProof/>
                <w:webHidden/>
              </w:rPr>
              <w:fldChar w:fldCharType="end"/>
            </w:r>
          </w:hyperlink>
        </w:p>
        <w:p w14:paraId="25BDA1CA" w14:textId="57291A22" w:rsidR="00355716" w:rsidRDefault="00355716">
          <w:pPr>
            <w:pStyle w:val="TOC2"/>
            <w:tabs>
              <w:tab w:val="left" w:pos="880"/>
              <w:tab w:val="right" w:leader="dot" w:pos="9350"/>
            </w:tabs>
            <w:rPr>
              <w:rFonts w:eastAsiaTheme="minorEastAsia"/>
              <w:noProof/>
            </w:rPr>
          </w:pPr>
          <w:hyperlink w:anchor="_Toc63852712" w:history="1">
            <w:r w:rsidRPr="00871606">
              <w:rPr>
                <w:rStyle w:val="Hyperlink"/>
                <w:noProof/>
              </w:rPr>
              <w:t>4.2.</w:t>
            </w:r>
            <w:r>
              <w:rPr>
                <w:rFonts w:eastAsiaTheme="minorEastAsia"/>
                <w:noProof/>
              </w:rPr>
              <w:tab/>
            </w:r>
            <w:r w:rsidRPr="00871606">
              <w:rPr>
                <w:rStyle w:val="Hyperlink"/>
                <w:noProof/>
              </w:rPr>
              <w:t>Investment Goals</w:t>
            </w:r>
            <w:r>
              <w:rPr>
                <w:noProof/>
                <w:webHidden/>
              </w:rPr>
              <w:tab/>
            </w:r>
            <w:r>
              <w:rPr>
                <w:noProof/>
                <w:webHidden/>
              </w:rPr>
              <w:fldChar w:fldCharType="begin"/>
            </w:r>
            <w:r>
              <w:rPr>
                <w:noProof/>
                <w:webHidden/>
              </w:rPr>
              <w:instrText xml:space="preserve"> PAGEREF _Toc63852712 \h </w:instrText>
            </w:r>
            <w:r>
              <w:rPr>
                <w:noProof/>
                <w:webHidden/>
              </w:rPr>
            </w:r>
            <w:r>
              <w:rPr>
                <w:noProof/>
                <w:webHidden/>
              </w:rPr>
              <w:fldChar w:fldCharType="separate"/>
            </w:r>
            <w:r w:rsidR="00371BF4">
              <w:rPr>
                <w:noProof/>
                <w:webHidden/>
              </w:rPr>
              <w:t>3</w:t>
            </w:r>
            <w:r>
              <w:rPr>
                <w:noProof/>
                <w:webHidden/>
              </w:rPr>
              <w:fldChar w:fldCharType="end"/>
            </w:r>
          </w:hyperlink>
        </w:p>
        <w:p w14:paraId="76F48272" w14:textId="49722CA9" w:rsidR="00355716" w:rsidRDefault="00355716">
          <w:pPr>
            <w:pStyle w:val="TOC3"/>
            <w:tabs>
              <w:tab w:val="left" w:pos="1320"/>
              <w:tab w:val="right" w:leader="dot" w:pos="9350"/>
            </w:tabs>
            <w:rPr>
              <w:rFonts w:eastAsiaTheme="minorEastAsia"/>
              <w:noProof/>
            </w:rPr>
          </w:pPr>
          <w:hyperlink w:anchor="_Toc63852713" w:history="1">
            <w:r w:rsidRPr="00871606">
              <w:rPr>
                <w:rStyle w:val="Hyperlink"/>
                <w:noProof/>
              </w:rPr>
              <w:t>4.2.1.</w:t>
            </w:r>
            <w:r>
              <w:rPr>
                <w:rFonts w:eastAsiaTheme="minorEastAsia"/>
                <w:noProof/>
              </w:rPr>
              <w:tab/>
            </w:r>
            <w:r w:rsidRPr="00871606">
              <w:rPr>
                <w:rStyle w:val="Hyperlink"/>
                <w:noProof/>
              </w:rPr>
              <w:t>Investment Funds</w:t>
            </w:r>
            <w:r>
              <w:rPr>
                <w:noProof/>
                <w:webHidden/>
              </w:rPr>
              <w:tab/>
            </w:r>
            <w:r>
              <w:rPr>
                <w:noProof/>
                <w:webHidden/>
              </w:rPr>
              <w:fldChar w:fldCharType="begin"/>
            </w:r>
            <w:r>
              <w:rPr>
                <w:noProof/>
                <w:webHidden/>
              </w:rPr>
              <w:instrText xml:space="preserve"> PAGEREF _Toc63852713 \h </w:instrText>
            </w:r>
            <w:r>
              <w:rPr>
                <w:noProof/>
                <w:webHidden/>
              </w:rPr>
            </w:r>
            <w:r>
              <w:rPr>
                <w:noProof/>
                <w:webHidden/>
              </w:rPr>
              <w:fldChar w:fldCharType="separate"/>
            </w:r>
            <w:r w:rsidR="00371BF4">
              <w:rPr>
                <w:noProof/>
                <w:webHidden/>
              </w:rPr>
              <w:t>3</w:t>
            </w:r>
            <w:r>
              <w:rPr>
                <w:noProof/>
                <w:webHidden/>
              </w:rPr>
              <w:fldChar w:fldCharType="end"/>
            </w:r>
          </w:hyperlink>
        </w:p>
        <w:p w14:paraId="1D3D34DF" w14:textId="6BE532EA" w:rsidR="00355716" w:rsidRDefault="00355716">
          <w:pPr>
            <w:pStyle w:val="TOC3"/>
            <w:tabs>
              <w:tab w:val="left" w:pos="1320"/>
              <w:tab w:val="right" w:leader="dot" w:pos="9350"/>
            </w:tabs>
            <w:rPr>
              <w:rFonts w:eastAsiaTheme="minorEastAsia"/>
              <w:noProof/>
            </w:rPr>
          </w:pPr>
          <w:hyperlink w:anchor="_Toc63852714" w:history="1">
            <w:r w:rsidRPr="00871606">
              <w:rPr>
                <w:rStyle w:val="Hyperlink"/>
                <w:noProof/>
              </w:rPr>
              <w:t>4.2.2.</w:t>
            </w:r>
            <w:r>
              <w:rPr>
                <w:rFonts w:eastAsiaTheme="minorEastAsia"/>
                <w:noProof/>
              </w:rPr>
              <w:tab/>
            </w:r>
            <w:r w:rsidRPr="00871606">
              <w:rPr>
                <w:rStyle w:val="Hyperlink"/>
                <w:noProof/>
              </w:rPr>
              <w:t>Short Term Operating Account Limitations</w:t>
            </w:r>
            <w:r>
              <w:rPr>
                <w:noProof/>
                <w:webHidden/>
              </w:rPr>
              <w:tab/>
            </w:r>
            <w:r>
              <w:rPr>
                <w:noProof/>
                <w:webHidden/>
              </w:rPr>
              <w:fldChar w:fldCharType="begin"/>
            </w:r>
            <w:r>
              <w:rPr>
                <w:noProof/>
                <w:webHidden/>
              </w:rPr>
              <w:instrText xml:space="preserve"> PAGEREF _Toc63852714 \h </w:instrText>
            </w:r>
            <w:r>
              <w:rPr>
                <w:noProof/>
                <w:webHidden/>
              </w:rPr>
            </w:r>
            <w:r>
              <w:rPr>
                <w:noProof/>
                <w:webHidden/>
              </w:rPr>
              <w:fldChar w:fldCharType="separate"/>
            </w:r>
            <w:r w:rsidR="00371BF4">
              <w:rPr>
                <w:noProof/>
                <w:webHidden/>
              </w:rPr>
              <w:t>3</w:t>
            </w:r>
            <w:r>
              <w:rPr>
                <w:noProof/>
                <w:webHidden/>
              </w:rPr>
              <w:fldChar w:fldCharType="end"/>
            </w:r>
          </w:hyperlink>
        </w:p>
        <w:p w14:paraId="50220064" w14:textId="5734AC47" w:rsidR="00355716" w:rsidRDefault="00355716">
          <w:pPr>
            <w:pStyle w:val="TOC1"/>
            <w:tabs>
              <w:tab w:val="left" w:pos="440"/>
              <w:tab w:val="right" w:leader="dot" w:pos="9350"/>
            </w:tabs>
            <w:rPr>
              <w:rFonts w:eastAsiaTheme="minorEastAsia"/>
              <w:noProof/>
            </w:rPr>
          </w:pPr>
          <w:hyperlink w:anchor="_Toc63852715" w:history="1">
            <w:r w:rsidRPr="00871606">
              <w:rPr>
                <w:rStyle w:val="Hyperlink"/>
                <w:noProof/>
              </w:rPr>
              <w:t>5.</w:t>
            </w:r>
            <w:r>
              <w:rPr>
                <w:rFonts w:eastAsiaTheme="minorEastAsia"/>
                <w:noProof/>
              </w:rPr>
              <w:tab/>
            </w:r>
            <w:r w:rsidRPr="00871606">
              <w:rPr>
                <w:rStyle w:val="Hyperlink"/>
                <w:noProof/>
              </w:rPr>
              <w:t>ASSET ALLOCATION</w:t>
            </w:r>
            <w:r>
              <w:rPr>
                <w:noProof/>
                <w:webHidden/>
              </w:rPr>
              <w:tab/>
            </w:r>
            <w:r>
              <w:rPr>
                <w:noProof/>
                <w:webHidden/>
              </w:rPr>
              <w:fldChar w:fldCharType="begin"/>
            </w:r>
            <w:r>
              <w:rPr>
                <w:noProof/>
                <w:webHidden/>
              </w:rPr>
              <w:instrText xml:space="preserve"> PAGEREF _Toc63852715 \h </w:instrText>
            </w:r>
            <w:r>
              <w:rPr>
                <w:noProof/>
                <w:webHidden/>
              </w:rPr>
            </w:r>
            <w:r>
              <w:rPr>
                <w:noProof/>
                <w:webHidden/>
              </w:rPr>
              <w:fldChar w:fldCharType="separate"/>
            </w:r>
            <w:r w:rsidR="00371BF4">
              <w:rPr>
                <w:noProof/>
                <w:webHidden/>
              </w:rPr>
              <w:t>3</w:t>
            </w:r>
            <w:r>
              <w:rPr>
                <w:noProof/>
                <w:webHidden/>
              </w:rPr>
              <w:fldChar w:fldCharType="end"/>
            </w:r>
          </w:hyperlink>
        </w:p>
        <w:p w14:paraId="4375CAB4" w14:textId="22ABBE52" w:rsidR="00355716" w:rsidRDefault="00355716">
          <w:pPr>
            <w:pStyle w:val="TOC2"/>
            <w:tabs>
              <w:tab w:val="left" w:pos="880"/>
              <w:tab w:val="right" w:leader="dot" w:pos="9350"/>
            </w:tabs>
            <w:rPr>
              <w:rFonts w:eastAsiaTheme="minorEastAsia"/>
              <w:noProof/>
            </w:rPr>
          </w:pPr>
          <w:hyperlink w:anchor="_Toc63852716" w:history="1">
            <w:r w:rsidRPr="00871606">
              <w:rPr>
                <w:rStyle w:val="Hyperlink"/>
                <w:noProof/>
              </w:rPr>
              <w:t>5.1.</w:t>
            </w:r>
            <w:r>
              <w:rPr>
                <w:rFonts w:eastAsiaTheme="minorEastAsia"/>
                <w:noProof/>
              </w:rPr>
              <w:tab/>
            </w:r>
            <w:r w:rsidRPr="00871606">
              <w:rPr>
                <w:rStyle w:val="Hyperlink"/>
                <w:noProof/>
              </w:rPr>
              <w:t>Principles</w:t>
            </w:r>
            <w:r>
              <w:rPr>
                <w:noProof/>
                <w:webHidden/>
              </w:rPr>
              <w:tab/>
            </w:r>
            <w:r>
              <w:rPr>
                <w:noProof/>
                <w:webHidden/>
              </w:rPr>
              <w:fldChar w:fldCharType="begin"/>
            </w:r>
            <w:r>
              <w:rPr>
                <w:noProof/>
                <w:webHidden/>
              </w:rPr>
              <w:instrText xml:space="preserve"> PAGEREF _Toc63852716 \h </w:instrText>
            </w:r>
            <w:r>
              <w:rPr>
                <w:noProof/>
                <w:webHidden/>
              </w:rPr>
            </w:r>
            <w:r>
              <w:rPr>
                <w:noProof/>
                <w:webHidden/>
              </w:rPr>
              <w:fldChar w:fldCharType="separate"/>
            </w:r>
            <w:r w:rsidR="00371BF4">
              <w:rPr>
                <w:noProof/>
                <w:webHidden/>
              </w:rPr>
              <w:t>3</w:t>
            </w:r>
            <w:r>
              <w:rPr>
                <w:noProof/>
                <w:webHidden/>
              </w:rPr>
              <w:fldChar w:fldCharType="end"/>
            </w:r>
          </w:hyperlink>
        </w:p>
        <w:p w14:paraId="18EE3515" w14:textId="735205C5" w:rsidR="00355716" w:rsidRDefault="00355716">
          <w:pPr>
            <w:pStyle w:val="TOC2"/>
            <w:tabs>
              <w:tab w:val="left" w:pos="880"/>
              <w:tab w:val="right" w:leader="dot" w:pos="9350"/>
            </w:tabs>
            <w:rPr>
              <w:rFonts w:eastAsiaTheme="minorEastAsia"/>
              <w:noProof/>
            </w:rPr>
          </w:pPr>
          <w:hyperlink w:anchor="_Toc63852717" w:history="1">
            <w:r w:rsidRPr="00871606">
              <w:rPr>
                <w:rStyle w:val="Hyperlink"/>
                <w:noProof/>
              </w:rPr>
              <w:t>5.2.</w:t>
            </w:r>
            <w:r>
              <w:rPr>
                <w:rFonts w:eastAsiaTheme="minorEastAsia"/>
                <w:noProof/>
              </w:rPr>
              <w:tab/>
            </w:r>
            <w:r w:rsidRPr="00871606">
              <w:rPr>
                <w:rStyle w:val="Hyperlink"/>
                <w:noProof/>
              </w:rPr>
              <w:t>Strategy</w:t>
            </w:r>
            <w:r>
              <w:rPr>
                <w:noProof/>
                <w:webHidden/>
              </w:rPr>
              <w:tab/>
            </w:r>
            <w:r>
              <w:rPr>
                <w:noProof/>
                <w:webHidden/>
              </w:rPr>
              <w:fldChar w:fldCharType="begin"/>
            </w:r>
            <w:r>
              <w:rPr>
                <w:noProof/>
                <w:webHidden/>
              </w:rPr>
              <w:instrText xml:space="preserve"> PAGEREF _Toc63852717 \h </w:instrText>
            </w:r>
            <w:r>
              <w:rPr>
                <w:noProof/>
                <w:webHidden/>
              </w:rPr>
            </w:r>
            <w:r>
              <w:rPr>
                <w:noProof/>
                <w:webHidden/>
              </w:rPr>
              <w:fldChar w:fldCharType="separate"/>
            </w:r>
            <w:r w:rsidR="00371BF4">
              <w:rPr>
                <w:noProof/>
                <w:webHidden/>
              </w:rPr>
              <w:t>4</w:t>
            </w:r>
            <w:r>
              <w:rPr>
                <w:noProof/>
                <w:webHidden/>
              </w:rPr>
              <w:fldChar w:fldCharType="end"/>
            </w:r>
          </w:hyperlink>
        </w:p>
        <w:p w14:paraId="05772A5E" w14:textId="1E2C6CD6" w:rsidR="00355716" w:rsidRDefault="00355716">
          <w:pPr>
            <w:pStyle w:val="TOC2"/>
            <w:tabs>
              <w:tab w:val="left" w:pos="880"/>
              <w:tab w:val="right" w:leader="dot" w:pos="9350"/>
            </w:tabs>
            <w:rPr>
              <w:rFonts w:eastAsiaTheme="minorEastAsia"/>
              <w:noProof/>
            </w:rPr>
          </w:pPr>
          <w:hyperlink w:anchor="_Toc63852718" w:history="1">
            <w:r w:rsidRPr="00871606">
              <w:rPr>
                <w:rStyle w:val="Hyperlink"/>
                <w:noProof/>
              </w:rPr>
              <w:t>5.3.</w:t>
            </w:r>
            <w:r>
              <w:rPr>
                <w:rFonts w:eastAsiaTheme="minorEastAsia"/>
                <w:noProof/>
              </w:rPr>
              <w:tab/>
            </w:r>
            <w:r w:rsidRPr="00871606">
              <w:rPr>
                <w:rStyle w:val="Hyperlink"/>
                <w:noProof/>
              </w:rPr>
              <w:t>Historic and Expected Returns</w:t>
            </w:r>
            <w:r>
              <w:rPr>
                <w:noProof/>
                <w:webHidden/>
              </w:rPr>
              <w:tab/>
            </w:r>
            <w:r>
              <w:rPr>
                <w:noProof/>
                <w:webHidden/>
              </w:rPr>
              <w:fldChar w:fldCharType="begin"/>
            </w:r>
            <w:r>
              <w:rPr>
                <w:noProof/>
                <w:webHidden/>
              </w:rPr>
              <w:instrText xml:space="preserve"> PAGEREF _Toc63852718 \h </w:instrText>
            </w:r>
            <w:r>
              <w:rPr>
                <w:noProof/>
                <w:webHidden/>
              </w:rPr>
            </w:r>
            <w:r>
              <w:rPr>
                <w:noProof/>
                <w:webHidden/>
              </w:rPr>
              <w:fldChar w:fldCharType="separate"/>
            </w:r>
            <w:r w:rsidR="00371BF4">
              <w:rPr>
                <w:noProof/>
                <w:webHidden/>
              </w:rPr>
              <w:t>4</w:t>
            </w:r>
            <w:r>
              <w:rPr>
                <w:noProof/>
                <w:webHidden/>
              </w:rPr>
              <w:fldChar w:fldCharType="end"/>
            </w:r>
          </w:hyperlink>
        </w:p>
        <w:p w14:paraId="47A1136B" w14:textId="303C32A1" w:rsidR="00355716" w:rsidRDefault="00355716">
          <w:pPr>
            <w:pStyle w:val="TOC2"/>
            <w:tabs>
              <w:tab w:val="left" w:pos="880"/>
              <w:tab w:val="right" w:leader="dot" w:pos="9350"/>
            </w:tabs>
            <w:rPr>
              <w:rFonts w:eastAsiaTheme="minorEastAsia"/>
              <w:noProof/>
            </w:rPr>
          </w:pPr>
          <w:hyperlink w:anchor="_Toc63852719" w:history="1">
            <w:r w:rsidRPr="00871606">
              <w:rPr>
                <w:rStyle w:val="Hyperlink"/>
                <w:noProof/>
              </w:rPr>
              <w:t>5.4.</w:t>
            </w:r>
            <w:r>
              <w:rPr>
                <w:rFonts w:eastAsiaTheme="minorEastAsia"/>
                <w:noProof/>
              </w:rPr>
              <w:tab/>
            </w:r>
            <w:r w:rsidRPr="00871606">
              <w:rPr>
                <w:rStyle w:val="Hyperlink"/>
                <w:noProof/>
              </w:rPr>
              <w:t>Risk</w:t>
            </w:r>
            <w:r>
              <w:rPr>
                <w:noProof/>
                <w:webHidden/>
              </w:rPr>
              <w:tab/>
            </w:r>
            <w:r>
              <w:rPr>
                <w:noProof/>
                <w:webHidden/>
              </w:rPr>
              <w:fldChar w:fldCharType="begin"/>
            </w:r>
            <w:r>
              <w:rPr>
                <w:noProof/>
                <w:webHidden/>
              </w:rPr>
              <w:instrText xml:space="preserve"> PAGEREF _Toc63852719 \h </w:instrText>
            </w:r>
            <w:r>
              <w:rPr>
                <w:noProof/>
                <w:webHidden/>
              </w:rPr>
            </w:r>
            <w:r>
              <w:rPr>
                <w:noProof/>
                <w:webHidden/>
              </w:rPr>
              <w:fldChar w:fldCharType="separate"/>
            </w:r>
            <w:r w:rsidR="00371BF4">
              <w:rPr>
                <w:noProof/>
                <w:webHidden/>
              </w:rPr>
              <w:t>5</w:t>
            </w:r>
            <w:r>
              <w:rPr>
                <w:noProof/>
                <w:webHidden/>
              </w:rPr>
              <w:fldChar w:fldCharType="end"/>
            </w:r>
          </w:hyperlink>
        </w:p>
        <w:p w14:paraId="0972BD5A" w14:textId="10E5F24E" w:rsidR="00355716" w:rsidRDefault="00355716">
          <w:pPr>
            <w:pStyle w:val="TOC1"/>
            <w:tabs>
              <w:tab w:val="left" w:pos="440"/>
              <w:tab w:val="right" w:leader="dot" w:pos="9350"/>
            </w:tabs>
            <w:rPr>
              <w:rFonts w:eastAsiaTheme="minorEastAsia"/>
              <w:noProof/>
            </w:rPr>
          </w:pPr>
          <w:hyperlink w:anchor="_Toc63852720" w:history="1">
            <w:r w:rsidRPr="00871606">
              <w:rPr>
                <w:rStyle w:val="Hyperlink"/>
                <w:noProof/>
              </w:rPr>
              <w:t>6.</w:t>
            </w:r>
            <w:r>
              <w:rPr>
                <w:rFonts w:eastAsiaTheme="minorEastAsia"/>
                <w:noProof/>
              </w:rPr>
              <w:tab/>
            </w:r>
            <w:r w:rsidRPr="00871606">
              <w:rPr>
                <w:rStyle w:val="Hyperlink"/>
                <w:noProof/>
              </w:rPr>
              <w:t>INVESTMENT VEHICLES AND ADVISORS</w:t>
            </w:r>
            <w:r>
              <w:rPr>
                <w:noProof/>
                <w:webHidden/>
              </w:rPr>
              <w:tab/>
            </w:r>
            <w:r>
              <w:rPr>
                <w:noProof/>
                <w:webHidden/>
              </w:rPr>
              <w:fldChar w:fldCharType="begin"/>
            </w:r>
            <w:r>
              <w:rPr>
                <w:noProof/>
                <w:webHidden/>
              </w:rPr>
              <w:instrText xml:space="preserve"> PAGEREF _Toc63852720 \h </w:instrText>
            </w:r>
            <w:r>
              <w:rPr>
                <w:noProof/>
                <w:webHidden/>
              </w:rPr>
            </w:r>
            <w:r>
              <w:rPr>
                <w:noProof/>
                <w:webHidden/>
              </w:rPr>
              <w:fldChar w:fldCharType="separate"/>
            </w:r>
            <w:r w:rsidR="00371BF4">
              <w:rPr>
                <w:noProof/>
                <w:webHidden/>
              </w:rPr>
              <w:t>5</w:t>
            </w:r>
            <w:r>
              <w:rPr>
                <w:noProof/>
                <w:webHidden/>
              </w:rPr>
              <w:fldChar w:fldCharType="end"/>
            </w:r>
          </w:hyperlink>
        </w:p>
        <w:p w14:paraId="11D6D222" w14:textId="29FCFE92" w:rsidR="00355716" w:rsidRDefault="00355716">
          <w:pPr>
            <w:pStyle w:val="TOC1"/>
            <w:tabs>
              <w:tab w:val="left" w:pos="440"/>
              <w:tab w:val="right" w:leader="dot" w:pos="9350"/>
            </w:tabs>
            <w:rPr>
              <w:rFonts w:eastAsiaTheme="minorEastAsia"/>
              <w:noProof/>
            </w:rPr>
          </w:pPr>
          <w:hyperlink w:anchor="_Toc63852721" w:history="1">
            <w:r w:rsidRPr="00871606">
              <w:rPr>
                <w:rStyle w:val="Hyperlink"/>
                <w:noProof/>
              </w:rPr>
              <w:t>7.</w:t>
            </w:r>
            <w:r>
              <w:rPr>
                <w:rFonts w:eastAsiaTheme="minorEastAsia"/>
                <w:noProof/>
              </w:rPr>
              <w:tab/>
            </w:r>
            <w:r w:rsidRPr="00871606">
              <w:rPr>
                <w:rStyle w:val="Hyperlink"/>
                <w:noProof/>
              </w:rPr>
              <w:t>REBALANCING</w:t>
            </w:r>
            <w:r>
              <w:rPr>
                <w:noProof/>
                <w:webHidden/>
              </w:rPr>
              <w:tab/>
            </w:r>
            <w:r>
              <w:rPr>
                <w:noProof/>
                <w:webHidden/>
              </w:rPr>
              <w:fldChar w:fldCharType="begin"/>
            </w:r>
            <w:r>
              <w:rPr>
                <w:noProof/>
                <w:webHidden/>
              </w:rPr>
              <w:instrText xml:space="preserve"> PAGEREF _Toc63852721 \h </w:instrText>
            </w:r>
            <w:r>
              <w:rPr>
                <w:noProof/>
                <w:webHidden/>
              </w:rPr>
            </w:r>
            <w:r>
              <w:rPr>
                <w:noProof/>
                <w:webHidden/>
              </w:rPr>
              <w:fldChar w:fldCharType="separate"/>
            </w:r>
            <w:r w:rsidR="00371BF4">
              <w:rPr>
                <w:noProof/>
                <w:webHidden/>
              </w:rPr>
              <w:t>5</w:t>
            </w:r>
            <w:r>
              <w:rPr>
                <w:noProof/>
                <w:webHidden/>
              </w:rPr>
              <w:fldChar w:fldCharType="end"/>
            </w:r>
          </w:hyperlink>
        </w:p>
        <w:p w14:paraId="79480ACF" w14:textId="5BB795C4" w:rsidR="00355716" w:rsidRDefault="00355716">
          <w:pPr>
            <w:pStyle w:val="TOC1"/>
            <w:tabs>
              <w:tab w:val="left" w:pos="440"/>
              <w:tab w:val="right" w:leader="dot" w:pos="9350"/>
            </w:tabs>
            <w:rPr>
              <w:rFonts w:eastAsiaTheme="minorEastAsia"/>
              <w:noProof/>
            </w:rPr>
          </w:pPr>
          <w:hyperlink w:anchor="_Toc63852722" w:history="1">
            <w:r w:rsidRPr="00871606">
              <w:rPr>
                <w:rStyle w:val="Hyperlink"/>
                <w:noProof/>
              </w:rPr>
              <w:t>8.</w:t>
            </w:r>
            <w:r>
              <w:rPr>
                <w:rFonts w:eastAsiaTheme="minorEastAsia"/>
                <w:noProof/>
              </w:rPr>
              <w:tab/>
            </w:r>
            <w:r w:rsidRPr="00871606">
              <w:rPr>
                <w:rStyle w:val="Hyperlink"/>
                <w:noProof/>
              </w:rPr>
              <w:t>COSTS</w:t>
            </w:r>
            <w:r>
              <w:rPr>
                <w:noProof/>
                <w:webHidden/>
              </w:rPr>
              <w:tab/>
            </w:r>
            <w:r>
              <w:rPr>
                <w:noProof/>
                <w:webHidden/>
              </w:rPr>
              <w:fldChar w:fldCharType="begin"/>
            </w:r>
            <w:r>
              <w:rPr>
                <w:noProof/>
                <w:webHidden/>
              </w:rPr>
              <w:instrText xml:space="preserve"> PAGEREF _Toc63852722 \h </w:instrText>
            </w:r>
            <w:r>
              <w:rPr>
                <w:noProof/>
                <w:webHidden/>
              </w:rPr>
            </w:r>
            <w:r>
              <w:rPr>
                <w:noProof/>
                <w:webHidden/>
              </w:rPr>
              <w:fldChar w:fldCharType="separate"/>
            </w:r>
            <w:r w:rsidR="00371BF4">
              <w:rPr>
                <w:noProof/>
                <w:webHidden/>
              </w:rPr>
              <w:t>5</w:t>
            </w:r>
            <w:r>
              <w:rPr>
                <w:noProof/>
                <w:webHidden/>
              </w:rPr>
              <w:fldChar w:fldCharType="end"/>
            </w:r>
          </w:hyperlink>
        </w:p>
        <w:p w14:paraId="5BD3AAB2" w14:textId="79CB9271" w:rsidR="00355716" w:rsidRDefault="00355716">
          <w:pPr>
            <w:pStyle w:val="TOC1"/>
            <w:tabs>
              <w:tab w:val="left" w:pos="440"/>
              <w:tab w:val="right" w:leader="dot" w:pos="9350"/>
            </w:tabs>
            <w:rPr>
              <w:rFonts w:eastAsiaTheme="minorEastAsia"/>
              <w:noProof/>
            </w:rPr>
          </w:pPr>
          <w:hyperlink w:anchor="_Toc63852723" w:history="1">
            <w:r w:rsidRPr="00871606">
              <w:rPr>
                <w:rStyle w:val="Hyperlink"/>
                <w:noProof/>
              </w:rPr>
              <w:t>9.</w:t>
            </w:r>
            <w:r>
              <w:rPr>
                <w:rFonts w:eastAsiaTheme="minorEastAsia"/>
                <w:noProof/>
              </w:rPr>
              <w:tab/>
            </w:r>
            <w:r w:rsidRPr="00871606">
              <w:rPr>
                <w:rStyle w:val="Hyperlink"/>
                <w:noProof/>
              </w:rPr>
              <w:t>COMMUNICATIONS</w:t>
            </w:r>
            <w:r>
              <w:rPr>
                <w:noProof/>
                <w:webHidden/>
              </w:rPr>
              <w:tab/>
            </w:r>
            <w:r>
              <w:rPr>
                <w:noProof/>
                <w:webHidden/>
              </w:rPr>
              <w:fldChar w:fldCharType="begin"/>
            </w:r>
            <w:r>
              <w:rPr>
                <w:noProof/>
                <w:webHidden/>
              </w:rPr>
              <w:instrText xml:space="preserve"> PAGEREF _Toc63852723 \h </w:instrText>
            </w:r>
            <w:r>
              <w:rPr>
                <w:noProof/>
                <w:webHidden/>
              </w:rPr>
            </w:r>
            <w:r>
              <w:rPr>
                <w:noProof/>
                <w:webHidden/>
              </w:rPr>
              <w:fldChar w:fldCharType="separate"/>
            </w:r>
            <w:r w:rsidR="00371BF4">
              <w:rPr>
                <w:noProof/>
                <w:webHidden/>
              </w:rPr>
              <w:t>5</w:t>
            </w:r>
            <w:r>
              <w:rPr>
                <w:noProof/>
                <w:webHidden/>
              </w:rPr>
              <w:fldChar w:fldCharType="end"/>
            </w:r>
          </w:hyperlink>
        </w:p>
        <w:p w14:paraId="62486679" w14:textId="40BF5C66" w:rsidR="00355716" w:rsidRDefault="00355716">
          <w:pPr>
            <w:pStyle w:val="TOC1"/>
            <w:tabs>
              <w:tab w:val="left" w:pos="660"/>
              <w:tab w:val="right" w:leader="dot" w:pos="9350"/>
            </w:tabs>
            <w:rPr>
              <w:rFonts w:eastAsiaTheme="minorEastAsia"/>
              <w:noProof/>
            </w:rPr>
          </w:pPr>
          <w:hyperlink w:anchor="_Toc63852724" w:history="1">
            <w:r w:rsidRPr="00871606">
              <w:rPr>
                <w:rStyle w:val="Hyperlink"/>
                <w:rFonts w:asciiTheme="majorHAnsi" w:eastAsiaTheme="majorEastAsia" w:hAnsiTheme="majorHAnsi" w:cstheme="majorBidi"/>
                <w:noProof/>
              </w:rPr>
              <w:t>10.</w:t>
            </w:r>
            <w:r>
              <w:rPr>
                <w:rFonts w:eastAsiaTheme="minorEastAsia"/>
                <w:noProof/>
              </w:rPr>
              <w:tab/>
            </w:r>
            <w:r w:rsidRPr="00871606">
              <w:rPr>
                <w:rStyle w:val="Hyperlink"/>
                <w:rFonts w:asciiTheme="majorHAnsi" w:eastAsiaTheme="majorEastAsia" w:hAnsiTheme="majorHAnsi" w:cstheme="majorBidi"/>
                <w:noProof/>
              </w:rPr>
              <w:t>RELATED DOCUMENTS AND FORMS</w:t>
            </w:r>
            <w:r>
              <w:rPr>
                <w:noProof/>
                <w:webHidden/>
              </w:rPr>
              <w:tab/>
            </w:r>
            <w:r>
              <w:rPr>
                <w:noProof/>
                <w:webHidden/>
              </w:rPr>
              <w:fldChar w:fldCharType="begin"/>
            </w:r>
            <w:r>
              <w:rPr>
                <w:noProof/>
                <w:webHidden/>
              </w:rPr>
              <w:instrText xml:space="preserve"> PAGEREF _Toc63852724 \h </w:instrText>
            </w:r>
            <w:r>
              <w:rPr>
                <w:noProof/>
                <w:webHidden/>
              </w:rPr>
            </w:r>
            <w:r>
              <w:rPr>
                <w:noProof/>
                <w:webHidden/>
              </w:rPr>
              <w:fldChar w:fldCharType="separate"/>
            </w:r>
            <w:r w:rsidR="00371BF4">
              <w:rPr>
                <w:noProof/>
                <w:webHidden/>
              </w:rPr>
              <w:t>6</w:t>
            </w:r>
            <w:r>
              <w:rPr>
                <w:noProof/>
                <w:webHidden/>
              </w:rPr>
              <w:fldChar w:fldCharType="end"/>
            </w:r>
          </w:hyperlink>
        </w:p>
        <w:p w14:paraId="0E901ACF" w14:textId="5F5FFE3D" w:rsidR="00355716" w:rsidRDefault="00355716">
          <w:pPr>
            <w:pStyle w:val="TOC1"/>
            <w:tabs>
              <w:tab w:val="left" w:pos="660"/>
              <w:tab w:val="right" w:leader="dot" w:pos="9350"/>
            </w:tabs>
            <w:rPr>
              <w:rFonts w:eastAsiaTheme="minorEastAsia"/>
              <w:noProof/>
            </w:rPr>
          </w:pPr>
          <w:hyperlink w:anchor="_Toc63852725" w:history="1">
            <w:r w:rsidRPr="00871606">
              <w:rPr>
                <w:rStyle w:val="Hyperlink"/>
                <w:rFonts w:asciiTheme="majorHAnsi" w:eastAsiaTheme="majorEastAsia" w:hAnsiTheme="majorHAnsi" w:cstheme="majorBidi"/>
                <w:noProof/>
              </w:rPr>
              <w:t>11.</w:t>
            </w:r>
            <w:r>
              <w:rPr>
                <w:rFonts w:eastAsiaTheme="minorEastAsia"/>
                <w:noProof/>
              </w:rPr>
              <w:tab/>
            </w:r>
            <w:r w:rsidRPr="00871606">
              <w:rPr>
                <w:rStyle w:val="Hyperlink"/>
                <w:rFonts w:asciiTheme="majorHAnsi" w:eastAsiaTheme="majorEastAsia" w:hAnsiTheme="majorHAnsi" w:cstheme="majorBidi"/>
                <w:noProof/>
              </w:rPr>
              <w:t>NOTIFICATION</w:t>
            </w:r>
            <w:r>
              <w:rPr>
                <w:noProof/>
                <w:webHidden/>
              </w:rPr>
              <w:tab/>
            </w:r>
            <w:r>
              <w:rPr>
                <w:noProof/>
                <w:webHidden/>
              </w:rPr>
              <w:fldChar w:fldCharType="begin"/>
            </w:r>
            <w:r>
              <w:rPr>
                <w:noProof/>
                <w:webHidden/>
              </w:rPr>
              <w:instrText xml:space="preserve"> PAGEREF _Toc63852725 \h </w:instrText>
            </w:r>
            <w:r>
              <w:rPr>
                <w:noProof/>
                <w:webHidden/>
              </w:rPr>
            </w:r>
            <w:r>
              <w:rPr>
                <w:noProof/>
                <w:webHidden/>
              </w:rPr>
              <w:fldChar w:fldCharType="separate"/>
            </w:r>
            <w:r w:rsidR="00371BF4">
              <w:rPr>
                <w:noProof/>
                <w:webHidden/>
              </w:rPr>
              <w:t>6</w:t>
            </w:r>
            <w:r>
              <w:rPr>
                <w:noProof/>
                <w:webHidden/>
              </w:rPr>
              <w:fldChar w:fldCharType="end"/>
            </w:r>
          </w:hyperlink>
        </w:p>
        <w:p w14:paraId="49612B6D" w14:textId="78D36378" w:rsidR="00355716" w:rsidRDefault="00355716">
          <w:pPr>
            <w:pStyle w:val="TOC1"/>
            <w:tabs>
              <w:tab w:val="left" w:pos="660"/>
              <w:tab w:val="right" w:leader="dot" w:pos="9350"/>
            </w:tabs>
            <w:rPr>
              <w:rFonts w:eastAsiaTheme="minorEastAsia"/>
              <w:noProof/>
            </w:rPr>
          </w:pPr>
          <w:hyperlink w:anchor="_Toc63852726" w:history="1">
            <w:r w:rsidRPr="00871606">
              <w:rPr>
                <w:rStyle w:val="Hyperlink"/>
                <w:rFonts w:asciiTheme="majorHAnsi" w:eastAsiaTheme="majorEastAsia" w:hAnsiTheme="majorHAnsi" w:cstheme="majorBidi"/>
                <w:noProof/>
              </w:rPr>
              <w:t>12.</w:t>
            </w:r>
            <w:r>
              <w:rPr>
                <w:rFonts w:eastAsiaTheme="minorEastAsia"/>
                <w:noProof/>
              </w:rPr>
              <w:tab/>
            </w:r>
            <w:r w:rsidRPr="00871606">
              <w:rPr>
                <w:rStyle w:val="Hyperlink"/>
                <w:rFonts w:asciiTheme="majorHAnsi" w:eastAsiaTheme="majorEastAsia" w:hAnsiTheme="majorHAnsi" w:cstheme="majorBidi"/>
                <w:noProof/>
              </w:rPr>
              <w:t>DISTRIBUTION OF POLICY AND UPDATING</w:t>
            </w:r>
            <w:r>
              <w:rPr>
                <w:noProof/>
                <w:webHidden/>
              </w:rPr>
              <w:tab/>
            </w:r>
            <w:r>
              <w:rPr>
                <w:noProof/>
                <w:webHidden/>
              </w:rPr>
              <w:fldChar w:fldCharType="begin"/>
            </w:r>
            <w:r>
              <w:rPr>
                <w:noProof/>
                <w:webHidden/>
              </w:rPr>
              <w:instrText xml:space="preserve"> PAGEREF _Toc63852726 \h </w:instrText>
            </w:r>
            <w:r>
              <w:rPr>
                <w:noProof/>
                <w:webHidden/>
              </w:rPr>
            </w:r>
            <w:r>
              <w:rPr>
                <w:noProof/>
                <w:webHidden/>
              </w:rPr>
              <w:fldChar w:fldCharType="separate"/>
            </w:r>
            <w:r w:rsidR="00371BF4">
              <w:rPr>
                <w:noProof/>
                <w:webHidden/>
              </w:rPr>
              <w:t>6</w:t>
            </w:r>
            <w:r>
              <w:rPr>
                <w:noProof/>
                <w:webHidden/>
              </w:rPr>
              <w:fldChar w:fldCharType="end"/>
            </w:r>
          </w:hyperlink>
        </w:p>
        <w:p w14:paraId="2FCBBF3A" w14:textId="5AACEE96" w:rsidR="00355716" w:rsidRDefault="00355716">
          <w:pPr>
            <w:pStyle w:val="TOC1"/>
            <w:tabs>
              <w:tab w:val="right" w:leader="dot" w:pos="9350"/>
            </w:tabs>
            <w:rPr>
              <w:rFonts w:eastAsiaTheme="minorEastAsia"/>
              <w:noProof/>
            </w:rPr>
          </w:pPr>
          <w:hyperlink w:anchor="_Toc63852727" w:history="1">
            <w:r w:rsidRPr="00871606">
              <w:rPr>
                <w:rStyle w:val="Hyperlink"/>
                <w:rFonts w:asciiTheme="majorHAnsi" w:eastAsiaTheme="majorEastAsia" w:hAnsiTheme="majorHAnsi" w:cstheme="majorBidi"/>
                <w:noProof/>
              </w:rPr>
              <w:t>CHANGE LOG</w:t>
            </w:r>
            <w:r>
              <w:rPr>
                <w:noProof/>
                <w:webHidden/>
              </w:rPr>
              <w:tab/>
            </w:r>
            <w:r>
              <w:rPr>
                <w:noProof/>
                <w:webHidden/>
              </w:rPr>
              <w:fldChar w:fldCharType="begin"/>
            </w:r>
            <w:r>
              <w:rPr>
                <w:noProof/>
                <w:webHidden/>
              </w:rPr>
              <w:instrText xml:space="preserve"> PAGEREF _Toc63852727 \h </w:instrText>
            </w:r>
            <w:r>
              <w:rPr>
                <w:noProof/>
                <w:webHidden/>
              </w:rPr>
            </w:r>
            <w:r>
              <w:rPr>
                <w:noProof/>
                <w:webHidden/>
              </w:rPr>
              <w:fldChar w:fldCharType="separate"/>
            </w:r>
            <w:r w:rsidR="00371BF4">
              <w:rPr>
                <w:noProof/>
                <w:webHidden/>
              </w:rPr>
              <w:t>6</w:t>
            </w:r>
            <w:r>
              <w:rPr>
                <w:noProof/>
                <w:webHidden/>
              </w:rPr>
              <w:fldChar w:fldCharType="end"/>
            </w:r>
          </w:hyperlink>
        </w:p>
        <w:p w14:paraId="72A47C13" w14:textId="3673EA9D" w:rsidR="00C3675F" w:rsidRDefault="00C3675F">
          <w:r>
            <w:rPr>
              <w:b/>
              <w:bCs/>
              <w:noProof/>
            </w:rPr>
            <w:fldChar w:fldCharType="end"/>
          </w:r>
        </w:p>
      </w:sdtContent>
    </w:sdt>
    <w:p w14:paraId="11C81DD4" w14:textId="77777777" w:rsidR="008A50A5" w:rsidRDefault="008A50A5">
      <w:pPr>
        <w:rPr>
          <w:rFonts w:asciiTheme="majorHAnsi" w:eastAsiaTheme="majorEastAsia" w:hAnsiTheme="majorHAnsi" w:cstheme="majorBidi"/>
          <w:color w:val="2F5496" w:themeColor="accent1" w:themeShade="BF"/>
          <w:sz w:val="32"/>
          <w:szCs w:val="32"/>
        </w:rPr>
      </w:pPr>
      <w:bookmarkStart w:id="0" w:name="_Toc38641218"/>
      <w:r>
        <w:rPr>
          <w:rFonts w:asciiTheme="majorHAnsi" w:eastAsiaTheme="majorEastAsia" w:hAnsiTheme="majorHAnsi" w:cstheme="majorBidi"/>
          <w:color w:val="2F5496" w:themeColor="accent1" w:themeShade="BF"/>
          <w:sz w:val="32"/>
          <w:szCs w:val="32"/>
        </w:rPr>
        <w:br w:type="page"/>
      </w:r>
    </w:p>
    <w:p w14:paraId="3DC52F6A" w14:textId="416504A7" w:rsidR="00C3675F" w:rsidRPr="00C3675F" w:rsidRDefault="0007713F" w:rsidP="00C3675F">
      <w:pPr>
        <w:keepNext/>
        <w:keepLines/>
        <w:numPr>
          <w:ilvl w:val="0"/>
          <w:numId w:val="1"/>
        </w:numPr>
        <w:spacing w:before="240" w:after="0" w:line="276" w:lineRule="auto"/>
        <w:outlineLvl w:val="0"/>
        <w:rPr>
          <w:rFonts w:asciiTheme="majorHAnsi" w:eastAsiaTheme="majorEastAsia" w:hAnsiTheme="majorHAnsi" w:cstheme="majorBidi"/>
          <w:color w:val="2F5496" w:themeColor="accent1" w:themeShade="BF"/>
          <w:sz w:val="32"/>
          <w:szCs w:val="32"/>
        </w:rPr>
      </w:pPr>
      <w:bookmarkStart w:id="1" w:name="_Toc63852707"/>
      <w:bookmarkEnd w:id="0"/>
      <w:r>
        <w:rPr>
          <w:rFonts w:asciiTheme="majorHAnsi" w:eastAsiaTheme="majorEastAsia" w:hAnsiTheme="majorHAnsi" w:cstheme="majorBidi"/>
          <w:color w:val="2F5496" w:themeColor="accent1" w:themeShade="BF"/>
          <w:sz w:val="32"/>
          <w:szCs w:val="32"/>
        </w:rPr>
        <w:lastRenderedPageBreak/>
        <w:t>POLICY OVERVIEW</w:t>
      </w:r>
      <w:bookmarkEnd w:id="1"/>
    </w:p>
    <w:p w14:paraId="50B8C6F4" w14:textId="77777777" w:rsidR="00C3675F" w:rsidRPr="00135B46" w:rsidRDefault="00C3675F" w:rsidP="00C3675F">
      <w:pPr>
        <w:numPr>
          <w:ilvl w:val="1"/>
          <w:numId w:val="1"/>
        </w:numPr>
        <w:spacing w:after="5" w:line="249" w:lineRule="auto"/>
        <w:ind w:right="217"/>
        <w:contextualSpacing/>
      </w:pPr>
      <w:bookmarkStart w:id="2" w:name="_Hlk29220035"/>
      <w:bookmarkStart w:id="3" w:name="_Hlk10524684"/>
      <w:r w:rsidRPr="00135B46">
        <w:t xml:space="preserve">Sections two (2) and three (3) give general information applicable to the entire policy. </w:t>
      </w:r>
    </w:p>
    <w:p w14:paraId="5BB5697D" w14:textId="15628DB9" w:rsidR="00C3675F" w:rsidRPr="00135B46" w:rsidRDefault="00C3675F" w:rsidP="00C3675F">
      <w:pPr>
        <w:numPr>
          <w:ilvl w:val="1"/>
          <w:numId w:val="1"/>
        </w:numPr>
        <w:spacing w:after="5" w:line="249" w:lineRule="auto"/>
        <w:ind w:right="217"/>
        <w:contextualSpacing/>
      </w:pPr>
      <w:r w:rsidRPr="00135B46">
        <w:t xml:space="preserve">Section four (4) </w:t>
      </w:r>
      <w:r w:rsidR="00135B46" w:rsidRPr="00135B46">
        <w:t>gives organizational investment goals and objectives</w:t>
      </w:r>
      <w:r w:rsidRPr="00135B46">
        <w:t>.</w:t>
      </w:r>
    </w:p>
    <w:p w14:paraId="599CBAFF" w14:textId="0DB2328F" w:rsidR="00C3675F" w:rsidRPr="00135B46" w:rsidRDefault="00C3675F" w:rsidP="00C3675F">
      <w:pPr>
        <w:numPr>
          <w:ilvl w:val="1"/>
          <w:numId w:val="1"/>
        </w:numPr>
        <w:spacing w:after="5" w:line="249" w:lineRule="auto"/>
        <w:ind w:right="217"/>
        <w:contextualSpacing/>
      </w:pPr>
      <w:r w:rsidRPr="00135B46">
        <w:t xml:space="preserve">Section five (5) </w:t>
      </w:r>
      <w:r w:rsidR="00135B46" w:rsidRPr="00135B46">
        <w:t xml:space="preserve">through nine (9) </w:t>
      </w:r>
      <w:r w:rsidRPr="00135B46">
        <w:t>cover</w:t>
      </w:r>
      <w:r w:rsidR="00135B46" w:rsidRPr="00135B46">
        <w:t xml:space="preserve"> organizational investment philosophy and management.</w:t>
      </w:r>
    </w:p>
    <w:p w14:paraId="2B7A00F4" w14:textId="1FC12E53" w:rsidR="00C3675F" w:rsidRPr="00135B46" w:rsidRDefault="00C3675F" w:rsidP="00C3675F">
      <w:pPr>
        <w:numPr>
          <w:ilvl w:val="1"/>
          <w:numId w:val="1"/>
        </w:numPr>
        <w:spacing w:after="5" w:line="249" w:lineRule="auto"/>
        <w:ind w:right="217"/>
        <w:contextualSpacing/>
      </w:pPr>
      <w:r w:rsidRPr="00135B46">
        <w:t xml:space="preserve">Section </w:t>
      </w:r>
      <w:r w:rsidR="00135B46" w:rsidRPr="00135B46">
        <w:t>ten</w:t>
      </w:r>
      <w:r w:rsidRPr="00135B46">
        <w:t xml:space="preserve"> (</w:t>
      </w:r>
      <w:r w:rsidR="00135B46" w:rsidRPr="00135B46">
        <w:t>10</w:t>
      </w:r>
      <w:r w:rsidRPr="00135B46">
        <w:t>) lists documents and forms applicable to this policy.</w:t>
      </w:r>
    </w:p>
    <w:bookmarkEnd w:id="2"/>
    <w:p w14:paraId="5C2B16FF" w14:textId="1B32A56C" w:rsidR="005804B9" w:rsidRPr="00D47F09" w:rsidRDefault="00C3675F" w:rsidP="005804B9">
      <w:pPr>
        <w:numPr>
          <w:ilvl w:val="1"/>
          <w:numId w:val="1"/>
        </w:numPr>
        <w:spacing w:after="5" w:line="249" w:lineRule="auto"/>
        <w:ind w:right="217"/>
        <w:contextualSpacing/>
      </w:pPr>
      <w:r w:rsidRPr="00135B46">
        <w:t xml:space="preserve">Sections </w:t>
      </w:r>
      <w:r w:rsidR="00135B46" w:rsidRPr="00135B46">
        <w:t>eleven</w:t>
      </w:r>
      <w:r w:rsidRPr="00135B46">
        <w:t xml:space="preserve"> (</w:t>
      </w:r>
      <w:r w:rsidR="00135B46" w:rsidRPr="00135B46">
        <w:t>11</w:t>
      </w:r>
      <w:r w:rsidRPr="00135B46">
        <w:t>) and t</w:t>
      </w:r>
      <w:r w:rsidR="00135B46" w:rsidRPr="00135B46">
        <w:t>welve</w:t>
      </w:r>
      <w:r w:rsidRPr="00135B46">
        <w:t xml:space="preserve"> (1</w:t>
      </w:r>
      <w:r w:rsidR="00135B46" w:rsidRPr="00135B46">
        <w:t>2</w:t>
      </w:r>
      <w:r w:rsidRPr="00135B46">
        <w:t>) outline administrative procedures and responsibility for ongoing policy implementation and dissemination.</w:t>
      </w:r>
      <w:bookmarkEnd w:id="3"/>
    </w:p>
    <w:p w14:paraId="06034916" w14:textId="6B72FC3B" w:rsidR="00C3675F" w:rsidRDefault="0007713F" w:rsidP="00C3675F">
      <w:pPr>
        <w:keepNext/>
        <w:keepLines/>
        <w:numPr>
          <w:ilvl w:val="0"/>
          <w:numId w:val="1"/>
        </w:numPr>
        <w:spacing w:before="240" w:after="0" w:line="276" w:lineRule="auto"/>
        <w:outlineLvl w:val="0"/>
        <w:rPr>
          <w:rFonts w:asciiTheme="majorHAnsi" w:eastAsiaTheme="majorEastAsia" w:hAnsiTheme="majorHAnsi" w:cstheme="majorBidi"/>
          <w:color w:val="2F5496" w:themeColor="accent1" w:themeShade="BF"/>
          <w:sz w:val="32"/>
          <w:szCs w:val="32"/>
        </w:rPr>
      </w:pPr>
      <w:bookmarkStart w:id="4" w:name="_Toc63852708"/>
      <w:r>
        <w:rPr>
          <w:rFonts w:asciiTheme="majorHAnsi" w:eastAsiaTheme="majorEastAsia" w:hAnsiTheme="majorHAnsi" w:cstheme="majorBidi"/>
          <w:color w:val="2F5496" w:themeColor="accent1" w:themeShade="BF"/>
          <w:sz w:val="32"/>
          <w:szCs w:val="32"/>
        </w:rPr>
        <w:t>PURPOSE OF POLICY</w:t>
      </w:r>
      <w:bookmarkEnd w:id="4"/>
    </w:p>
    <w:p w14:paraId="0FF65EDF" w14:textId="773F8009" w:rsidR="00163C6A" w:rsidRDefault="00D47F09" w:rsidP="005804B9">
      <w:pPr>
        <w:pStyle w:val="ListParagraph"/>
        <w:numPr>
          <w:ilvl w:val="1"/>
          <w:numId w:val="1"/>
        </w:numPr>
      </w:pPr>
      <w:r w:rsidRPr="00276824">
        <w:t xml:space="preserve">Utah Swimming, Inc. maintains an investment portfolio for the benefit of its members. </w:t>
      </w:r>
      <w:r w:rsidR="005804B9" w:rsidRPr="00276824">
        <w:t xml:space="preserve">The purpose of this </w:t>
      </w:r>
      <w:r w:rsidRPr="00276824">
        <w:t>policy</w:t>
      </w:r>
      <w:r w:rsidR="005804B9" w:rsidRPr="00276824">
        <w:t xml:space="preserve"> is to assist the </w:t>
      </w:r>
      <w:r w:rsidRPr="00276824">
        <w:t xml:space="preserve">Utah Swimming </w:t>
      </w:r>
      <w:r w:rsidR="00AF5975" w:rsidRPr="00276824">
        <w:t>Finance</w:t>
      </w:r>
      <w:r w:rsidR="005804B9" w:rsidRPr="00276824">
        <w:t xml:space="preserve"> Committee in effectively establishing, supervising, monitoring</w:t>
      </w:r>
      <w:r w:rsidRPr="00276824">
        <w:t>,</w:t>
      </w:r>
      <w:r w:rsidR="005804B9" w:rsidRPr="00276824">
        <w:t xml:space="preserve"> and evaluating the investments maintained in the</w:t>
      </w:r>
      <w:r w:rsidRPr="00276824">
        <w:t xml:space="preserve"> investment portfolio. </w:t>
      </w:r>
    </w:p>
    <w:p w14:paraId="5EF292CB" w14:textId="18A126DA" w:rsidR="00163C6A" w:rsidRPr="00163C6A" w:rsidRDefault="00163C6A" w:rsidP="00163C6A">
      <w:pPr>
        <w:pStyle w:val="ListParagraph"/>
        <w:numPr>
          <w:ilvl w:val="1"/>
          <w:numId w:val="1"/>
        </w:numPr>
        <w:spacing w:after="5" w:line="249" w:lineRule="auto"/>
        <w:ind w:right="217"/>
        <w:rPr>
          <w:rFonts w:cstheme="minorHAnsi"/>
        </w:rPr>
      </w:pPr>
      <w:r w:rsidRPr="00276824">
        <w:t>With respect to the investment portion</w:t>
      </w:r>
      <w:r>
        <w:t>s</w:t>
      </w:r>
      <w:r w:rsidRPr="00276824">
        <w:t xml:space="preserve"> of the portfolio that are managed by the Investment Advisor, this policy also establishes a clear understanding between the Finance Committee and the Advisor concerning the investment policies and objectives of Utah Swimming, Inc. </w:t>
      </w:r>
    </w:p>
    <w:p w14:paraId="729F864D" w14:textId="0AC266E8" w:rsidR="005804B9" w:rsidRPr="00276824" w:rsidRDefault="00D47F09" w:rsidP="00163C6A">
      <w:pPr>
        <w:ind w:left="360"/>
      </w:pPr>
      <w:r w:rsidRPr="00276824">
        <w:t>The policy also:</w:t>
      </w:r>
    </w:p>
    <w:p w14:paraId="1082BBBD" w14:textId="5E039C1A" w:rsidR="00AD5964" w:rsidRPr="00276824" w:rsidRDefault="00AD5964" w:rsidP="00AD5964">
      <w:pPr>
        <w:pStyle w:val="ListParagraph"/>
        <w:numPr>
          <w:ilvl w:val="1"/>
          <w:numId w:val="1"/>
        </w:numPr>
        <w:spacing w:after="5" w:line="249" w:lineRule="auto"/>
        <w:ind w:right="217"/>
        <w:rPr>
          <w:rFonts w:cstheme="minorHAnsi"/>
        </w:rPr>
      </w:pPr>
      <w:r w:rsidRPr="00276824">
        <w:rPr>
          <w:rFonts w:cstheme="minorHAnsi"/>
        </w:rPr>
        <w:t>Define</w:t>
      </w:r>
      <w:r w:rsidR="00D47F09" w:rsidRPr="00276824">
        <w:rPr>
          <w:rFonts w:cstheme="minorHAnsi"/>
        </w:rPr>
        <w:t>s</w:t>
      </w:r>
      <w:r w:rsidRPr="00276824">
        <w:rPr>
          <w:rFonts w:cstheme="minorHAnsi"/>
        </w:rPr>
        <w:t xml:space="preserve"> the investment goals and objectives of The Utah Swimming Investment Portfolio</w:t>
      </w:r>
      <w:r w:rsidR="00D47F09" w:rsidRPr="00276824">
        <w:rPr>
          <w:rFonts w:cstheme="minorHAnsi"/>
        </w:rPr>
        <w:t>.</w:t>
      </w:r>
    </w:p>
    <w:p w14:paraId="30AD2F92" w14:textId="4C071B80" w:rsidR="00AD5964" w:rsidRPr="00276824" w:rsidRDefault="00AD5964" w:rsidP="00AD5964">
      <w:pPr>
        <w:pStyle w:val="ListParagraph"/>
        <w:numPr>
          <w:ilvl w:val="1"/>
          <w:numId w:val="1"/>
        </w:numPr>
        <w:spacing w:after="5" w:line="249" w:lineRule="auto"/>
        <w:ind w:right="217"/>
        <w:rPr>
          <w:rFonts w:cstheme="minorHAnsi"/>
        </w:rPr>
      </w:pPr>
      <w:r w:rsidRPr="00276824">
        <w:rPr>
          <w:rFonts w:cstheme="minorHAnsi"/>
        </w:rPr>
        <w:t>Document</w:t>
      </w:r>
      <w:r w:rsidR="00D47F09" w:rsidRPr="00276824">
        <w:rPr>
          <w:rFonts w:cstheme="minorHAnsi"/>
        </w:rPr>
        <w:t>s</w:t>
      </w:r>
      <w:r w:rsidRPr="00276824">
        <w:rPr>
          <w:rFonts w:cstheme="minorHAnsi"/>
        </w:rPr>
        <w:t xml:space="preserve"> the material facts considered and the process used to arrive at the investment decisions reached</w:t>
      </w:r>
      <w:r w:rsidR="00D47F09" w:rsidRPr="00276824">
        <w:rPr>
          <w:rFonts w:cstheme="minorHAnsi"/>
        </w:rPr>
        <w:t>.</w:t>
      </w:r>
    </w:p>
    <w:p w14:paraId="3B90585C" w14:textId="4DF124F2" w:rsidR="00AD5964" w:rsidRPr="00276824" w:rsidRDefault="00AD5964" w:rsidP="00AD5964">
      <w:pPr>
        <w:pStyle w:val="ListParagraph"/>
        <w:numPr>
          <w:ilvl w:val="1"/>
          <w:numId w:val="1"/>
        </w:numPr>
        <w:spacing w:after="5" w:line="249" w:lineRule="auto"/>
        <w:ind w:right="217"/>
        <w:rPr>
          <w:rFonts w:cstheme="minorHAnsi"/>
        </w:rPr>
      </w:pPr>
      <w:r w:rsidRPr="00276824">
        <w:rPr>
          <w:rFonts w:cstheme="minorHAnsi"/>
        </w:rPr>
        <w:t>Establish</w:t>
      </w:r>
      <w:r w:rsidR="00D47F09" w:rsidRPr="00276824">
        <w:rPr>
          <w:rFonts w:cstheme="minorHAnsi"/>
        </w:rPr>
        <w:t>es</w:t>
      </w:r>
      <w:r w:rsidRPr="00276824">
        <w:rPr>
          <w:rFonts w:cstheme="minorHAnsi"/>
        </w:rPr>
        <w:t xml:space="preserve"> an asset allocation and investment management strategy designed to have a high probability of meeting the goals and objectives of The </w:t>
      </w:r>
      <w:proofErr w:type="gramStart"/>
      <w:r w:rsidRPr="00276824">
        <w:rPr>
          <w:rFonts w:cstheme="minorHAnsi"/>
        </w:rPr>
        <w:t>Portfolio</w:t>
      </w:r>
      <w:proofErr w:type="gramEnd"/>
    </w:p>
    <w:p w14:paraId="2BBCB791" w14:textId="73CED92B" w:rsidR="00AD5964" w:rsidRPr="00276824" w:rsidRDefault="00AD5964" w:rsidP="00AD5964">
      <w:pPr>
        <w:pStyle w:val="ListParagraph"/>
        <w:numPr>
          <w:ilvl w:val="1"/>
          <w:numId w:val="1"/>
        </w:numPr>
        <w:spacing w:after="5" w:line="249" w:lineRule="auto"/>
        <w:ind w:right="217"/>
        <w:rPr>
          <w:rFonts w:cstheme="minorHAnsi"/>
        </w:rPr>
      </w:pPr>
      <w:r w:rsidRPr="00276824">
        <w:rPr>
          <w:rFonts w:cstheme="minorHAnsi"/>
        </w:rPr>
        <w:t>Establish</w:t>
      </w:r>
      <w:r w:rsidR="00D47F09" w:rsidRPr="00276824">
        <w:rPr>
          <w:rFonts w:cstheme="minorHAnsi"/>
        </w:rPr>
        <w:t>es</w:t>
      </w:r>
      <w:r w:rsidRPr="00276824">
        <w:rPr>
          <w:rFonts w:cstheme="minorHAnsi"/>
        </w:rPr>
        <w:t xml:space="preserve"> a disciplined decision-making process to be followed by the investment advisors and managers in implementing the investment strategies decided upon</w:t>
      </w:r>
      <w:r w:rsidR="00D47F09" w:rsidRPr="00276824">
        <w:rPr>
          <w:rFonts w:cstheme="minorHAnsi"/>
        </w:rPr>
        <w:t>.</w:t>
      </w:r>
    </w:p>
    <w:p w14:paraId="420099E2" w14:textId="5CB45470" w:rsidR="00AD5964" w:rsidRPr="00276824" w:rsidRDefault="00AD5964" w:rsidP="00AD5964">
      <w:pPr>
        <w:pStyle w:val="ListParagraph"/>
        <w:numPr>
          <w:ilvl w:val="1"/>
          <w:numId w:val="1"/>
        </w:numPr>
        <w:spacing w:after="5" w:line="249" w:lineRule="auto"/>
        <w:ind w:right="217"/>
        <w:rPr>
          <w:rFonts w:cstheme="minorHAnsi"/>
        </w:rPr>
      </w:pPr>
      <w:r w:rsidRPr="00276824">
        <w:rPr>
          <w:rFonts w:cstheme="minorHAnsi"/>
        </w:rPr>
        <w:t>Establish</w:t>
      </w:r>
      <w:r w:rsidR="00D47F09" w:rsidRPr="00276824">
        <w:rPr>
          <w:rFonts w:cstheme="minorHAnsi"/>
        </w:rPr>
        <w:t>es</w:t>
      </w:r>
      <w:r w:rsidRPr="00276824">
        <w:rPr>
          <w:rFonts w:cstheme="minorHAnsi"/>
        </w:rPr>
        <w:t xml:space="preserve"> criteria for evaluating the success of the investment management of The </w:t>
      </w:r>
      <w:proofErr w:type="gramStart"/>
      <w:r w:rsidRPr="00276824">
        <w:rPr>
          <w:rFonts w:cstheme="minorHAnsi"/>
        </w:rPr>
        <w:t>Portfolio</w:t>
      </w:r>
      <w:proofErr w:type="gramEnd"/>
    </w:p>
    <w:p w14:paraId="54ACDE11" w14:textId="77777777" w:rsidR="00D47F09" w:rsidRPr="00276824" w:rsidRDefault="00AD5964" w:rsidP="005804B9">
      <w:pPr>
        <w:pStyle w:val="ListParagraph"/>
        <w:numPr>
          <w:ilvl w:val="1"/>
          <w:numId w:val="1"/>
        </w:numPr>
        <w:spacing w:after="5" w:line="249" w:lineRule="auto"/>
        <w:ind w:right="217"/>
        <w:rPr>
          <w:rFonts w:cstheme="minorHAnsi"/>
        </w:rPr>
      </w:pPr>
      <w:r w:rsidRPr="00276824">
        <w:rPr>
          <w:rFonts w:cstheme="minorHAnsi"/>
        </w:rPr>
        <w:t>Document</w:t>
      </w:r>
      <w:r w:rsidR="00D47F09" w:rsidRPr="00276824">
        <w:rPr>
          <w:rFonts w:cstheme="minorHAnsi"/>
        </w:rPr>
        <w:t>s</w:t>
      </w:r>
      <w:r w:rsidRPr="00276824">
        <w:rPr>
          <w:rFonts w:cstheme="minorHAnsi"/>
        </w:rPr>
        <w:t xml:space="preserve"> the procedural prudence followed by the Committee in taking the investment course of action followed.</w:t>
      </w:r>
    </w:p>
    <w:p w14:paraId="4D1C1736" w14:textId="74B73671" w:rsidR="00C3675F" w:rsidRPr="00C3675F" w:rsidRDefault="00C3675F" w:rsidP="00C3675F">
      <w:pPr>
        <w:keepNext/>
        <w:keepLines/>
        <w:numPr>
          <w:ilvl w:val="0"/>
          <w:numId w:val="1"/>
        </w:numPr>
        <w:spacing w:before="240" w:after="0" w:line="276" w:lineRule="auto"/>
        <w:outlineLvl w:val="0"/>
        <w:rPr>
          <w:rFonts w:asciiTheme="majorHAnsi" w:eastAsiaTheme="majorEastAsia" w:hAnsiTheme="majorHAnsi" w:cstheme="majorBidi"/>
          <w:color w:val="2F5496" w:themeColor="accent1" w:themeShade="BF"/>
          <w:sz w:val="32"/>
          <w:szCs w:val="32"/>
        </w:rPr>
      </w:pPr>
      <w:bookmarkStart w:id="5" w:name="_Toc38641220"/>
      <w:bookmarkStart w:id="6" w:name="_Toc63852709"/>
      <w:r w:rsidRPr="00C3675F">
        <w:rPr>
          <w:rFonts w:asciiTheme="majorHAnsi" w:eastAsiaTheme="majorEastAsia" w:hAnsiTheme="majorHAnsi" w:cstheme="majorBidi"/>
          <w:color w:val="2F5496" w:themeColor="accent1" w:themeShade="BF"/>
          <w:sz w:val="32"/>
          <w:szCs w:val="32"/>
        </w:rPr>
        <w:t>D</w:t>
      </w:r>
      <w:bookmarkEnd w:id="5"/>
      <w:r w:rsidR="0007713F">
        <w:rPr>
          <w:rFonts w:asciiTheme="majorHAnsi" w:eastAsiaTheme="majorEastAsia" w:hAnsiTheme="majorHAnsi" w:cstheme="majorBidi"/>
          <w:color w:val="2F5496" w:themeColor="accent1" w:themeShade="BF"/>
          <w:sz w:val="32"/>
          <w:szCs w:val="32"/>
        </w:rPr>
        <w:t>EFINITIONS</w:t>
      </w:r>
      <w:bookmarkEnd w:id="6"/>
    </w:p>
    <w:p w14:paraId="048A6D6E" w14:textId="05ACE494" w:rsidR="00D0121C" w:rsidRPr="00276824" w:rsidRDefault="00D0121C" w:rsidP="00C3675F">
      <w:pPr>
        <w:numPr>
          <w:ilvl w:val="1"/>
          <w:numId w:val="1"/>
        </w:numPr>
        <w:spacing w:after="200" w:line="276" w:lineRule="auto"/>
        <w:contextualSpacing/>
      </w:pPr>
      <w:r w:rsidRPr="00276824">
        <w:rPr>
          <w:b/>
          <w:bCs/>
        </w:rPr>
        <w:t>Advisor</w:t>
      </w:r>
      <w:r w:rsidRPr="00276824">
        <w:t>: In this policy, this refers to the Investment Advisor.</w:t>
      </w:r>
    </w:p>
    <w:p w14:paraId="48BF5BDC" w14:textId="174BC691" w:rsidR="00C3675F" w:rsidRPr="00276824" w:rsidRDefault="00C3675F" w:rsidP="00D0121C">
      <w:pPr>
        <w:numPr>
          <w:ilvl w:val="1"/>
          <w:numId w:val="1"/>
        </w:numPr>
        <w:spacing w:after="200" w:line="276" w:lineRule="auto"/>
        <w:contextualSpacing/>
      </w:pPr>
      <w:r w:rsidRPr="00276824">
        <w:rPr>
          <w:b/>
          <w:bCs/>
        </w:rPr>
        <w:t xml:space="preserve">Bylaws: </w:t>
      </w:r>
      <w:r w:rsidRPr="00276824">
        <w:t>The bylaws as adopted and amended from time to time by, and in effect for, UTSI.</w:t>
      </w:r>
    </w:p>
    <w:p w14:paraId="510D745A" w14:textId="579C9497" w:rsidR="00276824" w:rsidRPr="00276824" w:rsidRDefault="00276824" w:rsidP="00D0121C">
      <w:pPr>
        <w:numPr>
          <w:ilvl w:val="1"/>
          <w:numId w:val="1"/>
        </w:numPr>
        <w:spacing w:after="200" w:line="276" w:lineRule="auto"/>
        <w:contextualSpacing/>
      </w:pPr>
      <w:r w:rsidRPr="00276824">
        <w:rPr>
          <w:b/>
          <w:bCs/>
        </w:rPr>
        <w:t>Finance Committee:</w:t>
      </w:r>
      <w:r w:rsidRPr="00276824">
        <w:t xml:space="preserve"> As constituted in the UTSI bylaws.</w:t>
      </w:r>
    </w:p>
    <w:p w14:paraId="53F39ADC" w14:textId="38677BD0" w:rsidR="00AF5975" w:rsidRPr="00276824" w:rsidRDefault="00AF5975" w:rsidP="00C3675F">
      <w:pPr>
        <w:numPr>
          <w:ilvl w:val="1"/>
          <w:numId w:val="1"/>
        </w:numPr>
        <w:spacing w:after="200" w:line="276" w:lineRule="auto"/>
        <w:contextualSpacing/>
      </w:pPr>
      <w:r w:rsidRPr="00276824">
        <w:rPr>
          <w:b/>
          <w:bCs/>
        </w:rPr>
        <w:t>Investment Advisor</w:t>
      </w:r>
      <w:r w:rsidRPr="00276824">
        <w:t xml:space="preserve">, or in this policy, </w:t>
      </w:r>
      <w:r w:rsidRPr="00276824">
        <w:rPr>
          <w:b/>
          <w:bCs/>
        </w:rPr>
        <w:t>The Advisor</w:t>
      </w:r>
      <w:r w:rsidRPr="00276824">
        <w:t xml:space="preserve">: </w:t>
      </w:r>
      <w:r w:rsidR="00D0121C" w:rsidRPr="00276824">
        <w:t>The Advisor is responsible for overseeing the Investments, monitoring individual manager performance and compliance with this document with respect to the Investments, and making asset allocation recommendations.</w:t>
      </w:r>
    </w:p>
    <w:p w14:paraId="104AA6F6" w14:textId="5A398552" w:rsidR="00276824" w:rsidRPr="00276824" w:rsidRDefault="00276824" w:rsidP="00276824">
      <w:pPr>
        <w:numPr>
          <w:ilvl w:val="1"/>
          <w:numId w:val="1"/>
        </w:numPr>
        <w:spacing w:after="200" w:line="276" w:lineRule="auto"/>
        <w:contextualSpacing/>
      </w:pPr>
      <w:r w:rsidRPr="00276824">
        <w:rPr>
          <w:b/>
          <w:bCs/>
        </w:rPr>
        <w:t>Investments</w:t>
      </w:r>
      <w:r w:rsidR="00163C6A">
        <w:t xml:space="preserve">, or </w:t>
      </w:r>
      <w:r w:rsidR="00163C6A">
        <w:rPr>
          <w:b/>
          <w:bCs/>
        </w:rPr>
        <w:t>Investment Portfolio</w:t>
      </w:r>
      <w:r w:rsidRPr="00276824">
        <w:t>: The investment portion of the portfolio.</w:t>
      </w:r>
    </w:p>
    <w:p w14:paraId="7033F1C4" w14:textId="0B50AFD6" w:rsidR="00C3675F" w:rsidRPr="00276824" w:rsidRDefault="00C3675F" w:rsidP="00C3675F">
      <w:pPr>
        <w:numPr>
          <w:ilvl w:val="1"/>
          <w:numId w:val="1"/>
        </w:numPr>
        <w:spacing w:after="200" w:line="276" w:lineRule="auto"/>
        <w:contextualSpacing/>
      </w:pPr>
      <w:r w:rsidRPr="00276824">
        <w:rPr>
          <w:b/>
          <w:bCs/>
        </w:rPr>
        <w:t xml:space="preserve">LSC: </w:t>
      </w:r>
      <w:r w:rsidRPr="00276824">
        <w:t>Local Swim Committee, the regional governing body for USA Swimming. The LSC for the state of Utah is Utah Swimming.</w:t>
      </w:r>
    </w:p>
    <w:p w14:paraId="046CE23D" w14:textId="29905DCF" w:rsidR="00C3675F" w:rsidRPr="00276824" w:rsidRDefault="00D0121C" w:rsidP="00D0121C">
      <w:pPr>
        <w:numPr>
          <w:ilvl w:val="1"/>
          <w:numId w:val="1"/>
        </w:numPr>
        <w:spacing w:after="200" w:line="276" w:lineRule="auto"/>
        <w:contextualSpacing/>
      </w:pPr>
      <w:r w:rsidRPr="00276824">
        <w:rPr>
          <w:b/>
          <w:bCs/>
        </w:rPr>
        <w:t>Manager:</w:t>
      </w:r>
      <w:r w:rsidRPr="00276824">
        <w:t xml:space="preserve"> In this policy, this refers to the Investment Manager(s) employed by The Advisor who manage specific segments of the investments.</w:t>
      </w:r>
    </w:p>
    <w:p w14:paraId="602FF54E" w14:textId="42CC637A" w:rsidR="00C3675F" w:rsidRPr="00276824" w:rsidRDefault="00D0121C" w:rsidP="00D0121C">
      <w:pPr>
        <w:numPr>
          <w:ilvl w:val="1"/>
          <w:numId w:val="1"/>
        </w:numPr>
        <w:spacing w:after="200" w:line="276" w:lineRule="auto"/>
        <w:contextualSpacing/>
      </w:pPr>
      <w:r w:rsidRPr="00276824">
        <w:rPr>
          <w:b/>
          <w:bCs/>
        </w:rPr>
        <w:lastRenderedPageBreak/>
        <w:t>Portfolio</w:t>
      </w:r>
      <w:r w:rsidR="00163C6A">
        <w:t xml:space="preserve">, or in this policy, </w:t>
      </w:r>
      <w:r w:rsidR="00163C6A">
        <w:rPr>
          <w:b/>
          <w:bCs/>
        </w:rPr>
        <w:t>The Portfolio</w:t>
      </w:r>
      <w:r w:rsidRPr="00276824">
        <w:t xml:space="preserve">: </w:t>
      </w:r>
      <w:r w:rsidR="00163C6A">
        <w:t>I</w:t>
      </w:r>
      <w:r w:rsidR="00D47F09" w:rsidRPr="00D47F09">
        <w:t xml:space="preserve">ncludes all </w:t>
      </w:r>
      <w:r w:rsidR="00163C6A">
        <w:t>Utah Swimming</w:t>
      </w:r>
      <w:r w:rsidR="00D47F09" w:rsidRPr="00D47F09">
        <w:t xml:space="preserve"> portfolio assets, including operating funds, unless specifically stated otherwise.</w:t>
      </w:r>
    </w:p>
    <w:p w14:paraId="738DEE29" w14:textId="404985CD" w:rsidR="00147990" w:rsidRPr="00276824" w:rsidRDefault="00C3675F" w:rsidP="00276824">
      <w:pPr>
        <w:numPr>
          <w:ilvl w:val="1"/>
          <w:numId w:val="1"/>
        </w:numPr>
        <w:spacing w:after="200" w:line="276" w:lineRule="auto"/>
        <w:contextualSpacing/>
      </w:pPr>
      <w:r w:rsidRPr="00276824">
        <w:rPr>
          <w:b/>
          <w:bCs/>
        </w:rPr>
        <w:t xml:space="preserve">UTSI: </w:t>
      </w:r>
      <w:r w:rsidRPr="00276824">
        <w:t>Utah Swimming, Inc. A Utah not-for-profit corporation.</w:t>
      </w:r>
      <w:bookmarkStart w:id="7" w:name="_Toc39737680"/>
      <w:bookmarkEnd w:id="7"/>
    </w:p>
    <w:p w14:paraId="16622F2A" w14:textId="47A7167B" w:rsidR="003A4846" w:rsidRDefault="0007713F" w:rsidP="00AD5964">
      <w:pPr>
        <w:pStyle w:val="Heading1"/>
        <w:numPr>
          <w:ilvl w:val="0"/>
          <w:numId w:val="1"/>
        </w:numPr>
      </w:pPr>
      <w:bookmarkStart w:id="8" w:name="_Toc39737681"/>
      <w:bookmarkStart w:id="9" w:name="_Toc39737682"/>
      <w:bookmarkStart w:id="10" w:name="_Toc63852710"/>
      <w:bookmarkEnd w:id="8"/>
      <w:bookmarkEnd w:id="9"/>
      <w:r>
        <w:t>GOALS AND OBJECTIVES</w:t>
      </w:r>
      <w:bookmarkEnd w:id="10"/>
    </w:p>
    <w:p w14:paraId="6E22EE3F" w14:textId="77777777" w:rsidR="00411142" w:rsidRDefault="003A4846" w:rsidP="00411142">
      <w:pPr>
        <w:pStyle w:val="Heading2"/>
        <w:numPr>
          <w:ilvl w:val="1"/>
          <w:numId w:val="1"/>
        </w:numPr>
      </w:pPr>
      <w:bookmarkStart w:id="11" w:name="_Toc63852711"/>
      <w:r>
        <w:t>Portfolio Goals</w:t>
      </w:r>
      <w:bookmarkEnd w:id="11"/>
      <w:r>
        <w:t xml:space="preserve"> </w:t>
      </w:r>
    </w:p>
    <w:p w14:paraId="4FB819AD" w14:textId="3643D6DB" w:rsidR="003A4846" w:rsidRDefault="003A4846" w:rsidP="00411142">
      <w:pPr>
        <w:pStyle w:val="ListParagraph"/>
        <w:numPr>
          <w:ilvl w:val="2"/>
          <w:numId w:val="1"/>
        </w:numPr>
      </w:pPr>
      <w:r>
        <w:t xml:space="preserve">It is a primary goal of </w:t>
      </w:r>
      <w:r w:rsidR="008A50A5">
        <w:t>Utah</w:t>
      </w:r>
      <w:r>
        <w:t xml:space="preserve"> Swimming, Inc. to invest the financial assets of the organization, </w:t>
      </w:r>
      <w:proofErr w:type="gramStart"/>
      <w:r>
        <w:t>in excess of</w:t>
      </w:r>
      <w:proofErr w:type="gramEnd"/>
      <w:r>
        <w:t xml:space="preserve"> funds needed for current operations, and to provide maximum earnings growth, based on a total return, consistent with a policy of prudent investment and protection of assets.  It is also the policy of the organization to maintain operating funds to provide for liquidity to meet current operating and capital expenditure needs.  </w:t>
      </w:r>
    </w:p>
    <w:p w14:paraId="7C96A904" w14:textId="5984DDFB" w:rsidR="00965E39" w:rsidRDefault="00965E39" w:rsidP="00965E39">
      <w:pPr>
        <w:pStyle w:val="Heading2"/>
        <w:numPr>
          <w:ilvl w:val="1"/>
          <w:numId w:val="1"/>
        </w:numPr>
      </w:pPr>
      <w:bookmarkStart w:id="12" w:name="_Toc63852712"/>
      <w:r>
        <w:t>Investment Goals</w:t>
      </w:r>
      <w:bookmarkEnd w:id="12"/>
    </w:p>
    <w:p w14:paraId="1BEA2436" w14:textId="44E7EE33" w:rsidR="003A4846" w:rsidRDefault="003A4846" w:rsidP="00965E39">
      <w:pPr>
        <w:pStyle w:val="Heading3"/>
        <w:numPr>
          <w:ilvl w:val="2"/>
          <w:numId w:val="1"/>
        </w:numPr>
      </w:pPr>
      <w:bookmarkStart w:id="13" w:name="_Toc63852713"/>
      <w:r>
        <w:t>Investment Funds</w:t>
      </w:r>
      <w:bookmarkEnd w:id="13"/>
      <w:r>
        <w:t xml:space="preserve"> </w:t>
      </w:r>
    </w:p>
    <w:p w14:paraId="2E46A992" w14:textId="0A2C827E" w:rsidR="003A4846" w:rsidRDefault="003A4846" w:rsidP="00965E39">
      <w:pPr>
        <w:pStyle w:val="ListParagraph"/>
        <w:numPr>
          <w:ilvl w:val="3"/>
          <w:numId w:val="1"/>
        </w:numPr>
      </w:pPr>
      <w:r>
        <w:t>The invested assets of U</w:t>
      </w:r>
      <w:r w:rsidR="008A50A5">
        <w:t>tah</w:t>
      </w:r>
      <w:r>
        <w:t xml:space="preserve"> Swimming, Inc. are invested and maintained in a balanced investment program. The primary objective is to provide maximum growth consistent with a policy of prudent investment and protection of assets. Growth will be attained through appreciation of assets, the inclusion of additional funds when available, and from retention of earnings of the fund except earnings caused to be withdrawn as hereinafter provided. </w:t>
      </w:r>
    </w:p>
    <w:p w14:paraId="313E2ABD" w14:textId="6EE161B1" w:rsidR="003A4846" w:rsidRDefault="003A4846" w:rsidP="00965E39">
      <w:pPr>
        <w:pStyle w:val="Heading3"/>
        <w:numPr>
          <w:ilvl w:val="2"/>
          <w:numId w:val="1"/>
        </w:numPr>
      </w:pPr>
      <w:bookmarkStart w:id="14" w:name="_Toc63852714"/>
      <w:r>
        <w:t>Short Term Operating Account</w:t>
      </w:r>
      <w:r w:rsidR="00411142">
        <w:t xml:space="preserve"> Limitations</w:t>
      </w:r>
      <w:bookmarkEnd w:id="14"/>
      <w:r>
        <w:t xml:space="preserve"> </w:t>
      </w:r>
    </w:p>
    <w:p w14:paraId="38FA5EB1" w14:textId="7E7D09B7" w:rsidR="003A4846" w:rsidRDefault="003A4846" w:rsidP="00965E39">
      <w:pPr>
        <w:pStyle w:val="ListParagraph"/>
        <w:numPr>
          <w:ilvl w:val="3"/>
          <w:numId w:val="1"/>
        </w:numPr>
      </w:pPr>
      <w:r>
        <w:t xml:space="preserve">The </w:t>
      </w:r>
      <w:r w:rsidR="00E82D72">
        <w:t>Short-Term</w:t>
      </w:r>
      <w:r>
        <w:t xml:space="preserve"> Operating Account is comprised of primarily operating funds that could reasonably be expected to be spent over the next 3 to 12 months.  The account will be managed by the </w:t>
      </w:r>
      <w:r w:rsidR="008A50A5">
        <w:t>Treasurer</w:t>
      </w:r>
      <w:r>
        <w:t xml:space="preserve"> with all transactions approved by the Finance Vice Chair except money market transfers.  The securities in the account will be limited to the following investment vehicles and restrictions: </w:t>
      </w:r>
    </w:p>
    <w:tbl>
      <w:tblPr>
        <w:tblStyle w:val="TableGrid"/>
        <w:tblW w:w="0" w:type="auto"/>
        <w:tblInd w:w="1705" w:type="dxa"/>
        <w:tblLook w:val="04A0" w:firstRow="1" w:lastRow="0" w:firstColumn="1" w:lastColumn="0" w:noHBand="0" w:noVBand="1"/>
      </w:tblPr>
      <w:tblGrid>
        <w:gridCol w:w="2745"/>
        <w:gridCol w:w="2229"/>
        <w:gridCol w:w="1523"/>
        <w:gridCol w:w="1148"/>
      </w:tblGrid>
      <w:tr w:rsidR="00411142" w14:paraId="637E004D" w14:textId="77777777" w:rsidTr="00965E39">
        <w:tc>
          <w:tcPr>
            <w:tcW w:w="2745" w:type="dxa"/>
          </w:tcPr>
          <w:p w14:paraId="65B72177" w14:textId="69DCD8C9" w:rsidR="00411142" w:rsidRPr="00E82D72" w:rsidRDefault="00411142" w:rsidP="00411142">
            <w:pPr>
              <w:rPr>
                <w:b/>
                <w:bCs/>
              </w:rPr>
            </w:pPr>
          </w:p>
        </w:tc>
        <w:tc>
          <w:tcPr>
            <w:tcW w:w="2229" w:type="dxa"/>
          </w:tcPr>
          <w:p w14:paraId="3D8BBAFB" w14:textId="76199DE6" w:rsidR="00411142" w:rsidRPr="00E82D72" w:rsidRDefault="00E82D72" w:rsidP="00411142">
            <w:pPr>
              <w:rPr>
                <w:b/>
                <w:bCs/>
              </w:rPr>
            </w:pPr>
            <w:r>
              <w:rPr>
                <w:b/>
                <w:bCs/>
              </w:rPr>
              <w:t>Single Security Limit</w:t>
            </w:r>
          </w:p>
        </w:tc>
        <w:tc>
          <w:tcPr>
            <w:tcW w:w="1523" w:type="dxa"/>
          </w:tcPr>
          <w:p w14:paraId="3491067A" w14:textId="44BE4DAC" w:rsidR="00411142" w:rsidRPr="00E82D72" w:rsidRDefault="00E82D72" w:rsidP="00411142">
            <w:pPr>
              <w:rPr>
                <w:b/>
                <w:bCs/>
              </w:rPr>
            </w:pPr>
            <w:r>
              <w:rPr>
                <w:b/>
                <w:bCs/>
              </w:rPr>
              <w:t>Minimum Quality</w:t>
            </w:r>
          </w:p>
        </w:tc>
        <w:tc>
          <w:tcPr>
            <w:tcW w:w="1148" w:type="dxa"/>
          </w:tcPr>
          <w:p w14:paraId="3AB24140" w14:textId="5B9E7AE0" w:rsidR="00411142" w:rsidRPr="00E82D72" w:rsidRDefault="00E82D72" w:rsidP="00411142">
            <w:pPr>
              <w:rPr>
                <w:b/>
                <w:bCs/>
              </w:rPr>
            </w:pPr>
            <w:r>
              <w:rPr>
                <w:b/>
                <w:bCs/>
              </w:rPr>
              <w:t>Maximum Maturity</w:t>
            </w:r>
          </w:p>
        </w:tc>
      </w:tr>
      <w:tr w:rsidR="00411142" w14:paraId="5AD03767" w14:textId="77777777" w:rsidTr="00965E39">
        <w:tc>
          <w:tcPr>
            <w:tcW w:w="2745" w:type="dxa"/>
          </w:tcPr>
          <w:p w14:paraId="73DE71D2" w14:textId="676D2CB5" w:rsidR="00411142" w:rsidRDefault="00411142" w:rsidP="00411142">
            <w:r>
              <w:t>Money Market Funds</w:t>
            </w:r>
          </w:p>
        </w:tc>
        <w:tc>
          <w:tcPr>
            <w:tcW w:w="2229" w:type="dxa"/>
          </w:tcPr>
          <w:p w14:paraId="37C17C0D" w14:textId="15BECD7B" w:rsidR="00411142" w:rsidRDefault="00411142" w:rsidP="00411142">
            <w:r>
              <w:t>None</w:t>
            </w:r>
          </w:p>
        </w:tc>
        <w:tc>
          <w:tcPr>
            <w:tcW w:w="1523" w:type="dxa"/>
          </w:tcPr>
          <w:p w14:paraId="14C0D4D1" w14:textId="6F0EACB0" w:rsidR="00411142" w:rsidRDefault="00411142" w:rsidP="00411142">
            <w:r>
              <w:t xml:space="preserve">N/A  </w:t>
            </w:r>
          </w:p>
        </w:tc>
        <w:tc>
          <w:tcPr>
            <w:tcW w:w="1148" w:type="dxa"/>
          </w:tcPr>
          <w:p w14:paraId="44B12473" w14:textId="71D9C3C3" w:rsidR="00411142" w:rsidRDefault="00411142" w:rsidP="00411142">
            <w:r>
              <w:t>N/A</w:t>
            </w:r>
          </w:p>
        </w:tc>
      </w:tr>
      <w:tr w:rsidR="00411142" w14:paraId="17A42768" w14:textId="77777777" w:rsidTr="00965E39">
        <w:tc>
          <w:tcPr>
            <w:tcW w:w="2745" w:type="dxa"/>
          </w:tcPr>
          <w:p w14:paraId="120CDE5F" w14:textId="7AE32A57" w:rsidR="00411142" w:rsidRDefault="00411142" w:rsidP="00411142">
            <w:r>
              <w:t>US Treasuries</w:t>
            </w:r>
          </w:p>
        </w:tc>
        <w:tc>
          <w:tcPr>
            <w:tcW w:w="2229" w:type="dxa"/>
          </w:tcPr>
          <w:p w14:paraId="12BB923E" w14:textId="29CD258B" w:rsidR="00411142" w:rsidRDefault="00411142" w:rsidP="00411142">
            <w:r>
              <w:t>None</w:t>
            </w:r>
          </w:p>
        </w:tc>
        <w:tc>
          <w:tcPr>
            <w:tcW w:w="1523" w:type="dxa"/>
          </w:tcPr>
          <w:p w14:paraId="40E6230C" w14:textId="6E3D4AF0" w:rsidR="00411142" w:rsidRDefault="00411142" w:rsidP="00411142">
            <w:r>
              <w:t>N/A</w:t>
            </w:r>
          </w:p>
        </w:tc>
        <w:tc>
          <w:tcPr>
            <w:tcW w:w="1148" w:type="dxa"/>
          </w:tcPr>
          <w:p w14:paraId="57DB6AFC" w14:textId="67DEE4B3" w:rsidR="00411142" w:rsidRDefault="00411142" w:rsidP="00411142">
            <w:r>
              <w:t xml:space="preserve">1 </w:t>
            </w:r>
            <w:proofErr w:type="spellStart"/>
            <w:r>
              <w:t>yr</w:t>
            </w:r>
            <w:proofErr w:type="spellEnd"/>
          </w:p>
        </w:tc>
      </w:tr>
      <w:tr w:rsidR="00411142" w14:paraId="0261C5A7" w14:textId="77777777" w:rsidTr="00965E39">
        <w:tc>
          <w:tcPr>
            <w:tcW w:w="2745" w:type="dxa"/>
          </w:tcPr>
          <w:p w14:paraId="0F887CCD" w14:textId="2BC143B6" w:rsidR="00411142" w:rsidRDefault="00411142" w:rsidP="00411142">
            <w:r>
              <w:t>Agency Discount Notes</w:t>
            </w:r>
          </w:p>
        </w:tc>
        <w:tc>
          <w:tcPr>
            <w:tcW w:w="2229" w:type="dxa"/>
          </w:tcPr>
          <w:p w14:paraId="02288AE9" w14:textId="4534B593" w:rsidR="00411142" w:rsidRDefault="00411142" w:rsidP="00411142">
            <w:r>
              <w:t>None</w:t>
            </w:r>
          </w:p>
        </w:tc>
        <w:tc>
          <w:tcPr>
            <w:tcW w:w="1523" w:type="dxa"/>
          </w:tcPr>
          <w:p w14:paraId="6865B63A" w14:textId="40B33AA1" w:rsidR="00411142" w:rsidRDefault="00411142" w:rsidP="00411142">
            <w:r>
              <w:t>None</w:t>
            </w:r>
          </w:p>
        </w:tc>
        <w:tc>
          <w:tcPr>
            <w:tcW w:w="1148" w:type="dxa"/>
          </w:tcPr>
          <w:p w14:paraId="210CC802" w14:textId="11E0C3B6" w:rsidR="00411142" w:rsidRDefault="00411142" w:rsidP="00411142">
            <w:r>
              <w:t>None</w:t>
            </w:r>
          </w:p>
        </w:tc>
      </w:tr>
      <w:tr w:rsidR="00411142" w14:paraId="2256F9B4" w14:textId="77777777" w:rsidTr="00965E39">
        <w:tc>
          <w:tcPr>
            <w:tcW w:w="2745" w:type="dxa"/>
          </w:tcPr>
          <w:p w14:paraId="7BE851BC" w14:textId="56C6BA31" w:rsidR="00411142" w:rsidRDefault="00411142" w:rsidP="00411142">
            <w:r>
              <w:t>Commercial Paper</w:t>
            </w:r>
          </w:p>
        </w:tc>
        <w:tc>
          <w:tcPr>
            <w:tcW w:w="2229" w:type="dxa"/>
          </w:tcPr>
          <w:p w14:paraId="1A9490BD" w14:textId="499F1FF2" w:rsidR="00411142" w:rsidRDefault="00E82D72" w:rsidP="00411142">
            <w:r>
              <w:t>$1,000,000</w:t>
            </w:r>
          </w:p>
        </w:tc>
        <w:tc>
          <w:tcPr>
            <w:tcW w:w="1523" w:type="dxa"/>
          </w:tcPr>
          <w:p w14:paraId="50815B61" w14:textId="20487309" w:rsidR="00411142" w:rsidRDefault="00411142" w:rsidP="00411142">
            <w:r>
              <w:t>A2/P2</w:t>
            </w:r>
          </w:p>
        </w:tc>
        <w:tc>
          <w:tcPr>
            <w:tcW w:w="1148" w:type="dxa"/>
          </w:tcPr>
          <w:p w14:paraId="0D9B8556" w14:textId="51013486" w:rsidR="00411142" w:rsidRDefault="00E82D72" w:rsidP="00411142">
            <w:r>
              <w:t xml:space="preserve">1 </w:t>
            </w:r>
            <w:proofErr w:type="spellStart"/>
            <w:r>
              <w:t>yr</w:t>
            </w:r>
            <w:proofErr w:type="spellEnd"/>
          </w:p>
        </w:tc>
      </w:tr>
      <w:tr w:rsidR="00411142" w14:paraId="7F30BDC8" w14:textId="77777777" w:rsidTr="00965E39">
        <w:tc>
          <w:tcPr>
            <w:tcW w:w="2745" w:type="dxa"/>
          </w:tcPr>
          <w:p w14:paraId="7DB63079" w14:textId="0D91DA0E" w:rsidR="00411142" w:rsidRDefault="005804B9" w:rsidP="00411142">
            <w:r>
              <w:t>Corporate Bonds</w:t>
            </w:r>
          </w:p>
        </w:tc>
        <w:tc>
          <w:tcPr>
            <w:tcW w:w="2229" w:type="dxa"/>
          </w:tcPr>
          <w:p w14:paraId="516E9A1A" w14:textId="20D66968" w:rsidR="00411142" w:rsidRDefault="005804B9" w:rsidP="00411142">
            <w:r>
              <w:t>$1,000,000</w:t>
            </w:r>
          </w:p>
        </w:tc>
        <w:tc>
          <w:tcPr>
            <w:tcW w:w="1523" w:type="dxa"/>
          </w:tcPr>
          <w:p w14:paraId="1B1AB2EF" w14:textId="68961255" w:rsidR="00411142" w:rsidRDefault="005804B9" w:rsidP="00411142">
            <w:r>
              <w:t>A3/A-</w:t>
            </w:r>
          </w:p>
        </w:tc>
        <w:tc>
          <w:tcPr>
            <w:tcW w:w="1148" w:type="dxa"/>
          </w:tcPr>
          <w:p w14:paraId="6A4F4C58" w14:textId="5C5C8AA8" w:rsidR="005804B9" w:rsidRDefault="005804B9" w:rsidP="00411142">
            <w:r>
              <w:t xml:space="preserve">1 </w:t>
            </w:r>
            <w:proofErr w:type="spellStart"/>
            <w:r>
              <w:t>yr</w:t>
            </w:r>
            <w:proofErr w:type="spellEnd"/>
          </w:p>
        </w:tc>
      </w:tr>
    </w:tbl>
    <w:p w14:paraId="5B5E9095" w14:textId="77777777" w:rsidR="00411142" w:rsidRDefault="00411142" w:rsidP="003A4846"/>
    <w:p w14:paraId="74FF4977" w14:textId="161FB5C6" w:rsidR="003A4846" w:rsidRDefault="0007713F" w:rsidP="00965E39">
      <w:pPr>
        <w:pStyle w:val="Heading1"/>
        <w:numPr>
          <w:ilvl w:val="0"/>
          <w:numId w:val="1"/>
        </w:numPr>
      </w:pPr>
      <w:bookmarkStart w:id="15" w:name="_Toc63852715"/>
      <w:r>
        <w:t>ASSET ALLOCATION</w:t>
      </w:r>
      <w:bookmarkEnd w:id="15"/>
    </w:p>
    <w:p w14:paraId="35929366" w14:textId="01BF4BC5" w:rsidR="00080B0A" w:rsidRDefault="003A4846" w:rsidP="00080B0A">
      <w:r>
        <w:t>The asset allocation under the Investment Policy will meet the stated goals and objectives.  The asset allocation is based upon the following</w:t>
      </w:r>
      <w:r w:rsidR="00080B0A">
        <w:t>.</w:t>
      </w:r>
    </w:p>
    <w:p w14:paraId="6B58232D" w14:textId="5110053D" w:rsidR="00080B0A" w:rsidRDefault="00080B0A" w:rsidP="00080B0A">
      <w:pPr>
        <w:pStyle w:val="Heading2"/>
        <w:numPr>
          <w:ilvl w:val="1"/>
          <w:numId w:val="1"/>
        </w:numPr>
      </w:pPr>
      <w:bookmarkStart w:id="16" w:name="_Toc63852716"/>
      <w:r>
        <w:t>Principles</w:t>
      </w:r>
      <w:bookmarkEnd w:id="16"/>
    </w:p>
    <w:p w14:paraId="22866EE0" w14:textId="77777777" w:rsidR="00080B0A" w:rsidRDefault="00080B0A" w:rsidP="003A4846">
      <w:pPr>
        <w:pStyle w:val="ListParagraph"/>
        <w:numPr>
          <w:ilvl w:val="2"/>
          <w:numId w:val="1"/>
        </w:numPr>
      </w:pPr>
      <w:r>
        <w:t xml:space="preserve">It </w:t>
      </w:r>
      <w:r w:rsidR="003A4846">
        <w:t xml:space="preserve">is not productive to “time” the markets.  Rather, long-term strategic asset allocation, based upon the principles of Modern Portfolio Theory, is the most prudent investment approach.  That is, effective diversification can reduce risk.  In utilizing this methodology, it </w:t>
      </w:r>
      <w:r w:rsidR="003A4846">
        <w:lastRenderedPageBreak/>
        <w:t xml:space="preserve">is important to diversify into all the major asset classes as set out below, and to diversify by investment style and money manager.  </w:t>
      </w:r>
    </w:p>
    <w:p w14:paraId="5DF183FA" w14:textId="77777777" w:rsidR="00080B0A" w:rsidRDefault="00080B0A" w:rsidP="003A4846">
      <w:pPr>
        <w:pStyle w:val="ListParagraph"/>
        <w:numPr>
          <w:ilvl w:val="2"/>
          <w:numId w:val="1"/>
        </w:numPr>
      </w:pPr>
      <w:r>
        <w:t>G</w:t>
      </w:r>
      <w:r w:rsidR="003A4846">
        <w:t xml:space="preserve">ains and losses have a significant impact upon the Investments’ growth objective. </w:t>
      </w:r>
    </w:p>
    <w:p w14:paraId="7FD1CE03" w14:textId="394E0CB0" w:rsidR="003A4846" w:rsidRDefault="00080B0A" w:rsidP="003A4846">
      <w:pPr>
        <w:pStyle w:val="ListParagraph"/>
        <w:numPr>
          <w:ilvl w:val="2"/>
          <w:numId w:val="1"/>
        </w:numPr>
      </w:pPr>
      <w:r>
        <w:t>P</w:t>
      </w:r>
      <w:r w:rsidR="003A4846">
        <w:t xml:space="preserve">ortfolios with a greater amount of stock allocations and a lesser amount of bond allocations have a higher probability of short-term losses and of long-term higher returns than portfolios with lesser amounts of stocks. </w:t>
      </w:r>
    </w:p>
    <w:p w14:paraId="0249987A" w14:textId="6CBDCF66" w:rsidR="00080B0A" w:rsidRDefault="00080B0A" w:rsidP="00080B0A">
      <w:pPr>
        <w:pStyle w:val="Heading2"/>
        <w:numPr>
          <w:ilvl w:val="1"/>
          <w:numId w:val="1"/>
        </w:numPr>
      </w:pPr>
      <w:bookmarkStart w:id="17" w:name="_Toc63852717"/>
      <w:r>
        <w:t>Strategy</w:t>
      </w:r>
      <w:bookmarkEnd w:id="17"/>
    </w:p>
    <w:p w14:paraId="2ED9392F" w14:textId="2AFD938F" w:rsidR="003A4846" w:rsidRDefault="00080B0A" w:rsidP="003A4846">
      <w:pPr>
        <w:pStyle w:val="ListParagraph"/>
        <w:numPr>
          <w:ilvl w:val="2"/>
          <w:numId w:val="1"/>
        </w:numPr>
      </w:pPr>
      <w:r>
        <w:t>S</w:t>
      </w:r>
      <w:r w:rsidR="003A4846">
        <w:t xml:space="preserve">ince long-term higher returns are </w:t>
      </w:r>
      <w:proofErr w:type="gramStart"/>
      <w:r w:rsidR="003A4846">
        <w:t>very important</w:t>
      </w:r>
      <w:proofErr w:type="gramEnd"/>
      <w:r w:rsidR="003A4846">
        <w:t xml:space="preserve"> in meeting the objectives of the Investments, the asset allocation shall contain a mixture of stocks and bonds that subject the portfolio to the potential of moderate, but not devastatingly large short-term losses, and provide the potential for higher long-term returns.   </w:t>
      </w:r>
    </w:p>
    <w:tbl>
      <w:tblPr>
        <w:tblStyle w:val="TableGrid"/>
        <w:tblW w:w="0" w:type="auto"/>
        <w:tblInd w:w="1255" w:type="dxa"/>
        <w:tblLook w:val="04A0" w:firstRow="1" w:lastRow="0" w:firstColumn="1" w:lastColumn="0" w:noHBand="0" w:noVBand="1"/>
      </w:tblPr>
      <w:tblGrid>
        <w:gridCol w:w="3870"/>
        <w:gridCol w:w="1620"/>
        <w:gridCol w:w="1440"/>
        <w:gridCol w:w="1165"/>
      </w:tblGrid>
      <w:tr w:rsidR="00965E39" w14:paraId="72D5B47E" w14:textId="77777777" w:rsidTr="00080B0A">
        <w:tc>
          <w:tcPr>
            <w:tcW w:w="3870" w:type="dxa"/>
          </w:tcPr>
          <w:p w14:paraId="6B924B9B" w14:textId="6921324C" w:rsidR="00965E39" w:rsidRPr="001F6B45" w:rsidRDefault="00965E39" w:rsidP="003A4846">
            <w:pPr>
              <w:rPr>
                <w:b/>
                <w:bCs/>
              </w:rPr>
            </w:pPr>
            <w:r w:rsidRPr="001F6B45">
              <w:rPr>
                <w:b/>
                <w:bCs/>
              </w:rPr>
              <w:t xml:space="preserve">Asset Allocation Mix  </w:t>
            </w:r>
          </w:p>
        </w:tc>
        <w:tc>
          <w:tcPr>
            <w:tcW w:w="1620" w:type="dxa"/>
          </w:tcPr>
          <w:p w14:paraId="666B6A86" w14:textId="3B29A220" w:rsidR="00965E39" w:rsidRPr="001F6B45" w:rsidRDefault="00965E39" w:rsidP="003A4846">
            <w:pPr>
              <w:rPr>
                <w:b/>
                <w:bCs/>
              </w:rPr>
            </w:pPr>
            <w:r w:rsidRPr="001F6B45">
              <w:rPr>
                <w:b/>
                <w:bCs/>
              </w:rPr>
              <w:t>Target</w:t>
            </w:r>
          </w:p>
        </w:tc>
        <w:tc>
          <w:tcPr>
            <w:tcW w:w="1440" w:type="dxa"/>
          </w:tcPr>
          <w:p w14:paraId="41E28234" w14:textId="53CCEA5D" w:rsidR="00965E39" w:rsidRPr="001F6B45" w:rsidRDefault="00965E39" w:rsidP="003A4846">
            <w:pPr>
              <w:rPr>
                <w:b/>
                <w:bCs/>
              </w:rPr>
            </w:pPr>
            <w:r w:rsidRPr="001F6B45">
              <w:rPr>
                <w:b/>
                <w:bCs/>
              </w:rPr>
              <w:t>Minimum</w:t>
            </w:r>
          </w:p>
        </w:tc>
        <w:tc>
          <w:tcPr>
            <w:tcW w:w="1165" w:type="dxa"/>
          </w:tcPr>
          <w:p w14:paraId="29A9D178" w14:textId="7D00660B" w:rsidR="00965E39" w:rsidRPr="001F6B45" w:rsidRDefault="00965E39" w:rsidP="00965E39">
            <w:pPr>
              <w:rPr>
                <w:b/>
                <w:bCs/>
              </w:rPr>
            </w:pPr>
            <w:r w:rsidRPr="001F6B45">
              <w:rPr>
                <w:b/>
                <w:bCs/>
              </w:rPr>
              <w:t xml:space="preserve">Maximum </w:t>
            </w:r>
          </w:p>
        </w:tc>
      </w:tr>
      <w:tr w:rsidR="00965E39" w14:paraId="64359CE8" w14:textId="77777777" w:rsidTr="00080B0A">
        <w:tc>
          <w:tcPr>
            <w:tcW w:w="3870" w:type="dxa"/>
          </w:tcPr>
          <w:p w14:paraId="0B7A460E" w14:textId="09579585" w:rsidR="00965E39" w:rsidRPr="001F6B45" w:rsidRDefault="00965E39" w:rsidP="003A4846">
            <w:r w:rsidRPr="001F6B45">
              <w:t>Stocks</w:t>
            </w:r>
          </w:p>
        </w:tc>
        <w:tc>
          <w:tcPr>
            <w:tcW w:w="1620" w:type="dxa"/>
          </w:tcPr>
          <w:p w14:paraId="6CDE395C" w14:textId="4CB7CE59" w:rsidR="00965E39" w:rsidRDefault="00965E39" w:rsidP="003A4846">
            <w:r>
              <w:t>53%</w:t>
            </w:r>
          </w:p>
        </w:tc>
        <w:tc>
          <w:tcPr>
            <w:tcW w:w="1440" w:type="dxa"/>
          </w:tcPr>
          <w:p w14:paraId="244B7A0E" w14:textId="6E87A976" w:rsidR="00965E39" w:rsidRDefault="00965E39" w:rsidP="003A4846">
            <w:r>
              <w:t>43%</w:t>
            </w:r>
          </w:p>
        </w:tc>
        <w:tc>
          <w:tcPr>
            <w:tcW w:w="1165" w:type="dxa"/>
          </w:tcPr>
          <w:p w14:paraId="7E9639D5" w14:textId="33028D5A" w:rsidR="00965E39" w:rsidRDefault="00965E39" w:rsidP="003A4846">
            <w:r>
              <w:t>63%</w:t>
            </w:r>
          </w:p>
        </w:tc>
      </w:tr>
      <w:tr w:rsidR="00965E39" w14:paraId="0D70BF0E" w14:textId="77777777" w:rsidTr="00080B0A">
        <w:tc>
          <w:tcPr>
            <w:tcW w:w="3870" w:type="dxa"/>
          </w:tcPr>
          <w:p w14:paraId="77D16C49" w14:textId="16CF747B" w:rsidR="00965E39" w:rsidRPr="001F6B45" w:rsidRDefault="00965E39" w:rsidP="003A4846">
            <w:r w:rsidRPr="001F6B45">
              <w:t xml:space="preserve">Real Estate                     </w:t>
            </w:r>
          </w:p>
        </w:tc>
        <w:tc>
          <w:tcPr>
            <w:tcW w:w="1620" w:type="dxa"/>
          </w:tcPr>
          <w:p w14:paraId="38341DF6" w14:textId="4FD715DB" w:rsidR="00965E39" w:rsidRDefault="00965E39" w:rsidP="003A4846">
            <w:r>
              <w:t>4%</w:t>
            </w:r>
          </w:p>
        </w:tc>
        <w:tc>
          <w:tcPr>
            <w:tcW w:w="1440" w:type="dxa"/>
          </w:tcPr>
          <w:p w14:paraId="426E4082" w14:textId="65C0CA62" w:rsidR="00965E39" w:rsidRDefault="00965E39" w:rsidP="003A4846">
            <w:r>
              <w:t>3%</w:t>
            </w:r>
          </w:p>
        </w:tc>
        <w:tc>
          <w:tcPr>
            <w:tcW w:w="1165" w:type="dxa"/>
          </w:tcPr>
          <w:p w14:paraId="1AAD8269" w14:textId="7BC6CAC5" w:rsidR="00965E39" w:rsidRDefault="00965E39" w:rsidP="003A4846">
            <w:r>
              <w:t>7%</w:t>
            </w:r>
          </w:p>
        </w:tc>
      </w:tr>
      <w:tr w:rsidR="00965E39" w14:paraId="16904031" w14:textId="77777777" w:rsidTr="00080B0A">
        <w:tc>
          <w:tcPr>
            <w:tcW w:w="3870" w:type="dxa"/>
          </w:tcPr>
          <w:p w14:paraId="395E2572" w14:textId="1612A4EB" w:rsidR="00965E39" w:rsidRPr="001F6B45" w:rsidRDefault="00965E39" w:rsidP="003A4846">
            <w:r w:rsidRPr="001F6B45">
              <w:t>Commodity</w:t>
            </w:r>
          </w:p>
        </w:tc>
        <w:tc>
          <w:tcPr>
            <w:tcW w:w="1620" w:type="dxa"/>
          </w:tcPr>
          <w:p w14:paraId="6BCF6A71" w14:textId="0D94CAA9" w:rsidR="00965E39" w:rsidRDefault="00965E39" w:rsidP="003A4846">
            <w:r>
              <w:t>3%</w:t>
            </w:r>
          </w:p>
        </w:tc>
        <w:tc>
          <w:tcPr>
            <w:tcW w:w="1440" w:type="dxa"/>
          </w:tcPr>
          <w:p w14:paraId="0F335DB3" w14:textId="56C879D2" w:rsidR="00965E39" w:rsidRDefault="00965E39" w:rsidP="003A4846">
            <w:r>
              <w:t>0%</w:t>
            </w:r>
          </w:p>
        </w:tc>
        <w:tc>
          <w:tcPr>
            <w:tcW w:w="1165" w:type="dxa"/>
          </w:tcPr>
          <w:p w14:paraId="409E5E30" w14:textId="79DFD0FC" w:rsidR="00965E39" w:rsidRDefault="00965E39" w:rsidP="003A4846">
            <w:r>
              <w:t>7%</w:t>
            </w:r>
          </w:p>
        </w:tc>
      </w:tr>
      <w:tr w:rsidR="00965E39" w14:paraId="71C9BA44" w14:textId="77777777" w:rsidTr="00080B0A">
        <w:tc>
          <w:tcPr>
            <w:tcW w:w="3870" w:type="dxa"/>
          </w:tcPr>
          <w:p w14:paraId="36FB48BB" w14:textId="24A697E5" w:rsidR="00965E39" w:rsidRPr="001F6B45" w:rsidRDefault="00965E39" w:rsidP="003A4846">
            <w:r w:rsidRPr="001F6B45">
              <w:t>Bonds</w:t>
            </w:r>
          </w:p>
        </w:tc>
        <w:tc>
          <w:tcPr>
            <w:tcW w:w="1620" w:type="dxa"/>
          </w:tcPr>
          <w:p w14:paraId="6121F8DC" w14:textId="6D660762" w:rsidR="00965E39" w:rsidRDefault="00965E39" w:rsidP="003A4846">
            <w:r>
              <w:t>39%</w:t>
            </w:r>
          </w:p>
        </w:tc>
        <w:tc>
          <w:tcPr>
            <w:tcW w:w="1440" w:type="dxa"/>
          </w:tcPr>
          <w:p w14:paraId="6F550256" w14:textId="0EE3C8E5" w:rsidR="00965E39" w:rsidRDefault="00965E39" w:rsidP="003A4846">
            <w:r>
              <w:t>28%</w:t>
            </w:r>
          </w:p>
        </w:tc>
        <w:tc>
          <w:tcPr>
            <w:tcW w:w="1165" w:type="dxa"/>
          </w:tcPr>
          <w:p w14:paraId="2B478518" w14:textId="5E47D00D" w:rsidR="00965E39" w:rsidRDefault="008A50A5" w:rsidP="003A4846">
            <w:r>
              <w:t>45</w:t>
            </w:r>
            <w:r w:rsidR="00965E39">
              <w:t>%</w:t>
            </w:r>
          </w:p>
        </w:tc>
      </w:tr>
      <w:tr w:rsidR="00965E39" w14:paraId="100AFC38" w14:textId="77777777" w:rsidTr="00080B0A">
        <w:tc>
          <w:tcPr>
            <w:tcW w:w="3870" w:type="dxa"/>
          </w:tcPr>
          <w:p w14:paraId="62FBA6A8" w14:textId="3729AA5A" w:rsidR="00965E39" w:rsidRPr="001F6B45" w:rsidRDefault="00965E39" w:rsidP="003A4846">
            <w:r w:rsidRPr="001F6B45">
              <w:t>Cash</w:t>
            </w:r>
          </w:p>
        </w:tc>
        <w:tc>
          <w:tcPr>
            <w:tcW w:w="1620" w:type="dxa"/>
          </w:tcPr>
          <w:p w14:paraId="6B3560DB" w14:textId="45A08694" w:rsidR="00965E39" w:rsidRDefault="00965E39" w:rsidP="003A4846">
            <w:r>
              <w:t>1%</w:t>
            </w:r>
          </w:p>
        </w:tc>
        <w:tc>
          <w:tcPr>
            <w:tcW w:w="1440" w:type="dxa"/>
          </w:tcPr>
          <w:p w14:paraId="79D1ABFD" w14:textId="51AB0F4F" w:rsidR="00965E39" w:rsidRDefault="00965E39" w:rsidP="003A4846">
            <w:r>
              <w:t>0%</w:t>
            </w:r>
          </w:p>
        </w:tc>
        <w:tc>
          <w:tcPr>
            <w:tcW w:w="1165" w:type="dxa"/>
          </w:tcPr>
          <w:p w14:paraId="7BC0019E" w14:textId="37283BFB" w:rsidR="00965E39" w:rsidRDefault="00965E39" w:rsidP="003A4846">
            <w:r>
              <w:t>5%</w:t>
            </w:r>
          </w:p>
        </w:tc>
      </w:tr>
    </w:tbl>
    <w:p w14:paraId="6BFC9D05" w14:textId="205BB01A" w:rsidR="003A4846" w:rsidRDefault="003A4846" w:rsidP="003A4846"/>
    <w:p w14:paraId="5520BFBA" w14:textId="3D5F3BB5" w:rsidR="003A4846" w:rsidRDefault="003A4846" w:rsidP="00080B0A">
      <w:pPr>
        <w:pStyle w:val="Heading2"/>
        <w:numPr>
          <w:ilvl w:val="1"/>
          <w:numId w:val="1"/>
        </w:numPr>
      </w:pPr>
      <w:bookmarkStart w:id="18" w:name="_Toc63852718"/>
      <w:r>
        <w:t>Historic</w:t>
      </w:r>
      <w:r w:rsidR="00080B0A">
        <w:rPr>
          <w:rStyle w:val="FootnoteReference"/>
        </w:rPr>
        <w:footnoteReference w:id="1"/>
      </w:r>
      <w:r>
        <w:t xml:space="preserve"> and Expected Returns</w:t>
      </w:r>
      <w:bookmarkEnd w:id="18"/>
      <w:r>
        <w:t xml:space="preserve">  </w:t>
      </w:r>
    </w:p>
    <w:p w14:paraId="64682699" w14:textId="3AE132E3" w:rsidR="003A4846" w:rsidRDefault="003A4846" w:rsidP="00080B0A">
      <w:pPr>
        <w:pStyle w:val="ListParagraph"/>
        <w:numPr>
          <w:ilvl w:val="2"/>
          <w:numId w:val="1"/>
        </w:numPr>
      </w:pPr>
      <w:r>
        <w:t xml:space="preserve">The long-term un-audited historic rate of return on the Investments is shown below. It is based on the historic expected long-term total return for each asset class, and then adjusted for interest rate environment and each asset class’ percentage weighting in your portfolio. This is compared against the assumed </w:t>
      </w:r>
      <w:r w:rsidR="00080B0A">
        <w:t>long-term</w:t>
      </w:r>
      <w:r>
        <w:t xml:space="preserve"> average rate of inflation (as measured by the Consumer Price Index). The difference between the nominal rate of return and the inflation rate is your real (after-inflation) expected return. Actual performance will vary from these assumed rates and there is no guarantee that this return objective will be achieved either in any single year or over the longer term.  The portfolio return will also be reduced by the deduction of advisory and money management fees. </w:t>
      </w:r>
    </w:p>
    <w:tbl>
      <w:tblPr>
        <w:tblStyle w:val="TableGrid"/>
        <w:tblW w:w="0" w:type="auto"/>
        <w:tblInd w:w="1165" w:type="dxa"/>
        <w:tblLook w:val="04A0" w:firstRow="1" w:lastRow="0" w:firstColumn="1" w:lastColumn="0" w:noHBand="0" w:noVBand="1"/>
      </w:tblPr>
      <w:tblGrid>
        <w:gridCol w:w="3330"/>
        <w:gridCol w:w="900"/>
        <w:gridCol w:w="990"/>
        <w:gridCol w:w="990"/>
        <w:gridCol w:w="990"/>
        <w:gridCol w:w="985"/>
      </w:tblGrid>
      <w:tr w:rsidR="00965E39" w14:paraId="40F8D1E8" w14:textId="42BCD977" w:rsidTr="00080B0A">
        <w:tc>
          <w:tcPr>
            <w:tcW w:w="3330" w:type="dxa"/>
          </w:tcPr>
          <w:p w14:paraId="3E3709F7" w14:textId="3250C7D4" w:rsidR="00965E39" w:rsidRPr="001F6B45" w:rsidRDefault="00965E39" w:rsidP="003A4846">
            <w:pPr>
              <w:rPr>
                <w:b/>
                <w:bCs/>
              </w:rPr>
            </w:pPr>
          </w:p>
        </w:tc>
        <w:tc>
          <w:tcPr>
            <w:tcW w:w="900" w:type="dxa"/>
          </w:tcPr>
          <w:p w14:paraId="60861CB9" w14:textId="25E97103" w:rsidR="00965E39" w:rsidRPr="001F6B45" w:rsidRDefault="001F6B45" w:rsidP="003A4846">
            <w:pPr>
              <w:rPr>
                <w:b/>
                <w:bCs/>
              </w:rPr>
            </w:pPr>
            <w:r w:rsidRPr="001F6B45">
              <w:rPr>
                <w:b/>
                <w:bCs/>
              </w:rPr>
              <w:t>Year 1</w:t>
            </w:r>
          </w:p>
        </w:tc>
        <w:tc>
          <w:tcPr>
            <w:tcW w:w="990" w:type="dxa"/>
          </w:tcPr>
          <w:p w14:paraId="1408E244" w14:textId="22BD7B00" w:rsidR="00965E39" w:rsidRPr="001F6B45" w:rsidRDefault="001F6B45" w:rsidP="003A4846">
            <w:pPr>
              <w:rPr>
                <w:b/>
                <w:bCs/>
              </w:rPr>
            </w:pPr>
            <w:r w:rsidRPr="001F6B45">
              <w:rPr>
                <w:b/>
                <w:bCs/>
              </w:rPr>
              <w:t>Year 3</w:t>
            </w:r>
          </w:p>
        </w:tc>
        <w:tc>
          <w:tcPr>
            <w:tcW w:w="990" w:type="dxa"/>
          </w:tcPr>
          <w:p w14:paraId="33DD0440" w14:textId="2BA1FC8A" w:rsidR="00965E39" w:rsidRPr="001F6B45" w:rsidRDefault="001F6B45" w:rsidP="003A4846">
            <w:pPr>
              <w:rPr>
                <w:b/>
                <w:bCs/>
              </w:rPr>
            </w:pPr>
            <w:r w:rsidRPr="001F6B45">
              <w:rPr>
                <w:b/>
                <w:bCs/>
              </w:rPr>
              <w:t>Year 5</w:t>
            </w:r>
          </w:p>
        </w:tc>
        <w:tc>
          <w:tcPr>
            <w:tcW w:w="990" w:type="dxa"/>
          </w:tcPr>
          <w:p w14:paraId="58D683CC" w14:textId="1B21B99D" w:rsidR="00965E39" w:rsidRPr="001F6B45" w:rsidRDefault="001F6B45" w:rsidP="003A4846">
            <w:pPr>
              <w:rPr>
                <w:b/>
                <w:bCs/>
              </w:rPr>
            </w:pPr>
            <w:r w:rsidRPr="001F6B45">
              <w:rPr>
                <w:b/>
                <w:bCs/>
              </w:rPr>
              <w:t>Year 10</w:t>
            </w:r>
          </w:p>
        </w:tc>
        <w:tc>
          <w:tcPr>
            <w:tcW w:w="985" w:type="dxa"/>
          </w:tcPr>
          <w:p w14:paraId="61EF741A" w14:textId="42FCEAEA" w:rsidR="00965E39" w:rsidRPr="001F6B45" w:rsidRDefault="001F6B45" w:rsidP="003A4846">
            <w:pPr>
              <w:rPr>
                <w:b/>
                <w:bCs/>
              </w:rPr>
            </w:pPr>
            <w:r w:rsidRPr="001F6B45">
              <w:rPr>
                <w:b/>
                <w:bCs/>
              </w:rPr>
              <w:t>Year 20</w:t>
            </w:r>
          </w:p>
        </w:tc>
      </w:tr>
      <w:tr w:rsidR="00965E39" w14:paraId="7264073F" w14:textId="3A4605C1" w:rsidTr="00080B0A">
        <w:tc>
          <w:tcPr>
            <w:tcW w:w="3330" w:type="dxa"/>
          </w:tcPr>
          <w:p w14:paraId="24999623" w14:textId="10A07406" w:rsidR="00965E39" w:rsidRPr="001F6B45" w:rsidRDefault="00965E39" w:rsidP="003A4846">
            <w:pPr>
              <w:rPr>
                <w:b/>
                <w:bCs/>
              </w:rPr>
            </w:pPr>
            <w:r w:rsidRPr="001F6B45">
              <w:rPr>
                <w:b/>
                <w:bCs/>
              </w:rPr>
              <w:t>95</w:t>
            </w:r>
            <w:r w:rsidRPr="001F6B45">
              <w:rPr>
                <w:b/>
                <w:bCs/>
                <w:vertAlign w:val="superscript"/>
              </w:rPr>
              <w:t>th</w:t>
            </w:r>
            <w:r w:rsidRPr="001F6B45">
              <w:rPr>
                <w:b/>
                <w:bCs/>
              </w:rPr>
              <w:t xml:space="preserve"> Percentile</w:t>
            </w:r>
          </w:p>
        </w:tc>
        <w:tc>
          <w:tcPr>
            <w:tcW w:w="900" w:type="dxa"/>
          </w:tcPr>
          <w:p w14:paraId="332182EC" w14:textId="149B4ECC" w:rsidR="00965E39" w:rsidRDefault="00965E39" w:rsidP="003A4846">
            <w:r>
              <w:t>21.25</w:t>
            </w:r>
          </w:p>
        </w:tc>
        <w:tc>
          <w:tcPr>
            <w:tcW w:w="990" w:type="dxa"/>
          </w:tcPr>
          <w:p w14:paraId="27A87925" w14:textId="013D245C" w:rsidR="00965E39" w:rsidRDefault="00965E39" w:rsidP="003A4846">
            <w:r>
              <w:t>14.22</w:t>
            </w:r>
          </w:p>
        </w:tc>
        <w:tc>
          <w:tcPr>
            <w:tcW w:w="990" w:type="dxa"/>
          </w:tcPr>
          <w:p w14:paraId="053C3904" w14:textId="4EACC9F4" w:rsidR="00965E39" w:rsidRDefault="00965E39" w:rsidP="003A4846">
            <w:r>
              <w:t>12.11</w:t>
            </w:r>
          </w:p>
        </w:tc>
        <w:tc>
          <w:tcPr>
            <w:tcW w:w="990" w:type="dxa"/>
          </w:tcPr>
          <w:p w14:paraId="48533212" w14:textId="0A549EFA" w:rsidR="00965E39" w:rsidRDefault="00965E39" w:rsidP="003A4846">
            <w:r>
              <w:t>10.27</w:t>
            </w:r>
          </w:p>
        </w:tc>
        <w:tc>
          <w:tcPr>
            <w:tcW w:w="985" w:type="dxa"/>
          </w:tcPr>
          <w:p w14:paraId="2B577DB4" w14:textId="12DBAD9F" w:rsidR="00965E39" w:rsidRDefault="00965E39" w:rsidP="003A4846">
            <w:r>
              <w:t>9.07</w:t>
            </w:r>
          </w:p>
        </w:tc>
      </w:tr>
      <w:tr w:rsidR="00965E39" w14:paraId="0E3BDD33" w14:textId="567E2BE5" w:rsidTr="00080B0A">
        <w:tc>
          <w:tcPr>
            <w:tcW w:w="3330" w:type="dxa"/>
          </w:tcPr>
          <w:p w14:paraId="0276EFF4" w14:textId="7B3B6108" w:rsidR="00965E39" w:rsidRPr="001F6B45" w:rsidRDefault="00965E39" w:rsidP="003A4846">
            <w:pPr>
              <w:rPr>
                <w:b/>
                <w:bCs/>
              </w:rPr>
            </w:pPr>
            <w:r w:rsidRPr="001F6B45">
              <w:rPr>
                <w:b/>
                <w:bCs/>
              </w:rPr>
              <w:t>Expected Value</w:t>
            </w:r>
          </w:p>
        </w:tc>
        <w:tc>
          <w:tcPr>
            <w:tcW w:w="900" w:type="dxa"/>
          </w:tcPr>
          <w:p w14:paraId="27E0250E" w14:textId="39539171" w:rsidR="00965E39" w:rsidRDefault="00965E39" w:rsidP="003A4846">
            <w:r>
              <w:t>5.4</w:t>
            </w:r>
          </w:p>
        </w:tc>
        <w:tc>
          <w:tcPr>
            <w:tcW w:w="990" w:type="dxa"/>
          </w:tcPr>
          <w:p w14:paraId="5CFA5384" w14:textId="69071976" w:rsidR="00965E39" w:rsidRDefault="00965E39" w:rsidP="003A4846">
            <w:r>
              <w:t>5.77</w:t>
            </w:r>
          </w:p>
        </w:tc>
        <w:tc>
          <w:tcPr>
            <w:tcW w:w="990" w:type="dxa"/>
          </w:tcPr>
          <w:p w14:paraId="0A62E019" w14:textId="3DAD1151" w:rsidR="00965E39" w:rsidRDefault="00965E39" w:rsidP="003A4846">
            <w:r>
              <w:t>5.88</w:t>
            </w:r>
          </w:p>
        </w:tc>
        <w:tc>
          <w:tcPr>
            <w:tcW w:w="990" w:type="dxa"/>
          </w:tcPr>
          <w:p w14:paraId="406C886E" w14:textId="35386F00" w:rsidR="00965E39" w:rsidRDefault="00965E39" w:rsidP="003A4846">
            <w:r>
              <w:t>5.92</w:t>
            </w:r>
          </w:p>
        </w:tc>
        <w:tc>
          <w:tcPr>
            <w:tcW w:w="985" w:type="dxa"/>
          </w:tcPr>
          <w:p w14:paraId="4166D14C" w14:textId="1BAA1D76" w:rsidR="00965E39" w:rsidRDefault="00965E39" w:rsidP="003A4846">
            <w:r>
              <w:t>5.98</w:t>
            </w:r>
          </w:p>
        </w:tc>
      </w:tr>
      <w:tr w:rsidR="00965E39" w14:paraId="0E4A042F" w14:textId="20783A09" w:rsidTr="00080B0A">
        <w:tc>
          <w:tcPr>
            <w:tcW w:w="3330" w:type="dxa"/>
          </w:tcPr>
          <w:p w14:paraId="29A1B742" w14:textId="0A57DBDA" w:rsidR="00965E39" w:rsidRPr="001F6B45" w:rsidRDefault="00965E39" w:rsidP="003A4846">
            <w:pPr>
              <w:rPr>
                <w:b/>
                <w:bCs/>
              </w:rPr>
            </w:pPr>
            <w:r w:rsidRPr="001F6B45">
              <w:rPr>
                <w:b/>
                <w:bCs/>
              </w:rPr>
              <w:t>5</w:t>
            </w:r>
            <w:r w:rsidRPr="001F6B45">
              <w:rPr>
                <w:b/>
                <w:bCs/>
                <w:vertAlign w:val="superscript"/>
              </w:rPr>
              <w:t>th</w:t>
            </w:r>
            <w:r w:rsidRPr="001F6B45">
              <w:rPr>
                <w:b/>
                <w:bCs/>
              </w:rPr>
              <w:t xml:space="preserve"> Percentile</w:t>
            </w:r>
          </w:p>
        </w:tc>
        <w:tc>
          <w:tcPr>
            <w:tcW w:w="900" w:type="dxa"/>
          </w:tcPr>
          <w:p w14:paraId="3C002EA0" w14:textId="64777E96" w:rsidR="00965E39" w:rsidRDefault="001F6B45" w:rsidP="003A4846">
            <w:r>
              <w:t>-5.87</w:t>
            </w:r>
          </w:p>
        </w:tc>
        <w:tc>
          <w:tcPr>
            <w:tcW w:w="990" w:type="dxa"/>
          </w:tcPr>
          <w:p w14:paraId="6E098D2F" w14:textId="0CE51EBF" w:rsidR="00965E39" w:rsidRDefault="001F6B45" w:rsidP="003A4846">
            <w:r>
              <w:t>-1.17</w:t>
            </w:r>
          </w:p>
        </w:tc>
        <w:tc>
          <w:tcPr>
            <w:tcW w:w="990" w:type="dxa"/>
          </w:tcPr>
          <w:p w14:paraId="7F7A34D6" w14:textId="25E4859D" w:rsidR="00965E39" w:rsidRDefault="001F6B45" w:rsidP="003A4846">
            <w:r>
              <w:t>.027</w:t>
            </w:r>
          </w:p>
        </w:tc>
        <w:tc>
          <w:tcPr>
            <w:tcW w:w="990" w:type="dxa"/>
          </w:tcPr>
          <w:p w14:paraId="7C5DFB29" w14:textId="635B514E" w:rsidR="00965E39" w:rsidRDefault="001F6B45" w:rsidP="003A4846">
            <w:r>
              <w:t>1.87</w:t>
            </w:r>
          </w:p>
        </w:tc>
        <w:tc>
          <w:tcPr>
            <w:tcW w:w="985" w:type="dxa"/>
          </w:tcPr>
          <w:p w14:paraId="3F57348D" w14:textId="0ED05F3E" w:rsidR="00965E39" w:rsidRDefault="001F6B45" w:rsidP="003A4846">
            <w:r>
              <w:t>3.01</w:t>
            </w:r>
          </w:p>
        </w:tc>
      </w:tr>
    </w:tbl>
    <w:p w14:paraId="14B44E7E" w14:textId="77777777" w:rsidR="001F6B45" w:rsidRDefault="001F6B45" w:rsidP="003A4846"/>
    <w:p w14:paraId="1BD4299B" w14:textId="4005D2A8" w:rsidR="003A4846" w:rsidRDefault="003A4846" w:rsidP="00080B0A">
      <w:pPr>
        <w:pStyle w:val="ListParagraph"/>
        <w:numPr>
          <w:ilvl w:val="2"/>
          <w:numId w:val="1"/>
        </w:numPr>
      </w:pPr>
      <w:r>
        <w:t xml:space="preserve">At least two benchmarks for each asset class shall be selected to compare future performance against.  One or more passive indices that are reflective of the universe of securities within that asset class shall be selected.  In addition, one or more active manager benchmarks will be used to compare relative performance of the investment vehicle used herein to other managers investing within a particular asset class. </w:t>
      </w:r>
    </w:p>
    <w:p w14:paraId="354CE97D" w14:textId="49DF2CA3" w:rsidR="003A4846" w:rsidRDefault="003A4846" w:rsidP="00080B0A">
      <w:pPr>
        <w:pStyle w:val="ListParagraph"/>
        <w:numPr>
          <w:ilvl w:val="2"/>
          <w:numId w:val="1"/>
        </w:numPr>
      </w:pPr>
      <w:r>
        <w:lastRenderedPageBreak/>
        <w:t xml:space="preserve">It will be the objective of the Portfolio to outperform a blended benchmark consisting of </w:t>
      </w:r>
      <w:r w:rsidR="001F6B45">
        <w:t>53</w:t>
      </w:r>
      <w:r>
        <w:t xml:space="preserve">% MSCI All Country World Index, 4% NAREIT Dev Index, 3% </w:t>
      </w:r>
      <w:r w:rsidR="001F6B45">
        <w:t>Bloomberg</w:t>
      </w:r>
      <w:r>
        <w:t xml:space="preserve"> Commodity Index and 4</w:t>
      </w:r>
      <w:r w:rsidR="001F6B45">
        <w:t>0</w:t>
      </w:r>
      <w:r>
        <w:t xml:space="preserve">% Barclays Aggregate Bond Index over a </w:t>
      </w:r>
      <w:proofErr w:type="gramStart"/>
      <w:r>
        <w:t>three year</w:t>
      </w:r>
      <w:proofErr w:type="gramEnd"/>
      <w:r>
        <w:t xml:space="preserve"> rolling period after fees.  A secondary objective of the Portfolio will be to earn inflation (CPI) plus 3%.  The Committee recognizes that any particular investment strategy will have periods where it will fall short of achieving its goal.  During such period, the Committee expects rational explanations for such under-performance.  </w:t>
      </w:r>
    </w:p>
    <w:p w14:paraId="63D7C4C8" w14:textId="09359686" w:rsidR="00080B0A" w:rsidRDefault="00080B0A" w:rsidP="00080B0A">
      <w:pPr>
        <w:pStyle w:val="Heading2"/>
        <w:numPr>
          <w:ilvl w:val="1"/>
          <w:numId w:val="1"/>
        </w:numPr>
      </w:pPr>
      <w:bookmarkStart w:id="19" w:name="_Toc63852719"/>
      <w:r>
        <w:t>Risk</w:t>
      </w:r>
      <w:bookmarkEnd w:id="19"/>
    </w:p>
    <w:p w14:paraId="74584EF6" w14:textId="63C3A682" w:rsidR="003A4846" w:rsidRDefault="003A4846" w:rsidP="00080B0A">
      <w:pPr>
        <w:pStyle w:val="ListParagraph"/>
        <w:numPr>
          <w:ilvl w:val="2"/>
          <w:numId w:val="1"/>
        </w:numPr>
      </w:pPr>
      <w:r>
        <w:t xml:space="preserve">Risk will be measured by standard deviation and may be </w:t>
      </w:r>
      <w:proofErr w:type="gramStart"/>
      <w:r>
        <w:t>more or less risky</w:t>
      </w:r>
      <w:proofErr w:type="gramEnd"/>
      <w:r>
        <w:t xml:space="preserve"> than the blended index benchmark. Risk </w:t>
      </w:r>
      <w:proofErr w:type="gramStart"/>
      <w:r>
        <w:t>in excess of</w:t>
      </w:r>
      <w:proofErr w:type="gramEnd"/>
      <w:r>
        <w:t xml:space="preserve"> 15% plus or minus the benchmark may require additional examination. Returns will also be monitored on a risk adjusted basis as measured by the Sharpe Ratio. (Return of the portfolio minus the </w:t>
      </w:r>
      <w:proofErr w:type="gramStart"/>
      <w:r>
        <w:t>risk free</w:t>
      </w:r>
      <w:proofErr w:type="gramEnd"/>
      <w:r>
        <w:t xml:space="preserve"> rate divided (the risk free rate is measured by the 5 year Treasury note) by the standard deviation. </w:t>
      </w:r>
    </w:p>
    <w:p w14:paraId="27991C7E" w14:textId="5DCC1DDE" w:rsidR="003A4846" w:rsidRDefault="0007713F" w:rsidP="00996A34">
      <w:pPr>
        <w:pStyle w:val="Heading1"/>
        <w:numPr>
          <w:ilvl w:val="0"/>
          <w:numId w:val="1"/>
        </w:numPr>
      </w:pPr>
      <w:bookmarkStart w:id="20" w:name="_Toc63852720"/>
      <w:r>
        <w:t>INVESTMENT VEHICLES AND ADVISORS</w:t>
      </w:r>
      <w:bookmarkEnd w:id="20"/>
    </w:p>
    <w:p w14:paraId="2EE8F3E0" w14:textId="64905ABF" w:rsidR="003A4846" w:rsidRDefault="003A4846" w:rsidP="003A4846">
      <w:pPr>
        <w:pStyle w:val="ListParagraph"/>
        <w:numPr>
          <w:ilvl w:val="1"/>
          <w:numId w:val="1"/>
        </w:numPr>
      </w:pPr>
      <w:proofErr w:type="gramStart"/>
      <w:r>
        <w:t>In implementing the asset allocation policy, it</w:t>
      </w:r>
      <w:proofErr w:type="gramEnd"/>
      <w:r>
        <w:t xml:space="preserve"> is intended that there be extensive diversification by investment style.  </w:t>
      </w:r>
      <w:r w:rsidR="001F6B45">
        <w:t>Actively managed Mutual Funds, Exchange Traded Funds (ETF’s), and an individually managed Fixed Income portfolio</w:t>
      </w:r>
      <w:r>
        <w:t xml:space="preserve"> have been selected as the primary method of effectively implementing the asset allocation.  </w:t>
      </w:r>
    </w:p>
    <w:p w14:paraId="39E09BD0" w14:textId="6F6D5593" w:rsidR="003A4846" w:rsidRDefault="008A50A5" w:rsidP="00996A34">
      <w:pPr>
        <w:pStyle w:val="ListParagraph"/>
        <w:numPr>
          <w:ilvl w:val="1"/>
          <w:numId w:val="1"/>
        </w:numPr>
      </w:pPr>
      <w:r>
        <w:t>Ameriprise Financial</w:t>
      </w:r>
      <w:r w:rsidR="003A4846">
        <w:t xml:space="preserve">, the registered investment advisor to the Investments, will monitor the performance of each fund or manager and report to the Committee.  </w:t>
      </w:r>
      <w:r>
        <w:t>Ameriprise Financial</w:t>
      </w:r>
      <w:r w:rsidR="003A4846">
        <w:t xml:space="preserve"> will recommend replacement funds or managers. </w:t>
      </w:r>
    </w:p>
    <w:p w14:paraId="78C64051" w14:textId="0049075E" w:rsidR="003A4846" w:rsidRDefault="0007713F" w:rsidP="00996A34">
      <w:pPr>
        <w:pStyle w:val="Heading1"/>
        <w:numPr>
          <w:ilvl w:val="0"/>
          <w:numId w:val="1"/>
        </w:numPr>
      </w:pPr>
      <w:bookmarkStart w:id="21" w:name="_Toc63852721"/>
      <w:r>
        <w:t>REBALANCING</w:t>
      </w:r>
      <w:bookmarkEnd w:id="21"/>
      <w:r w:rsidR="003A4846">
        <w:t xml:space="preserve"> </w:t>
      </w:r>
    </w:p>
    <w:p w14:paraId="689E67BF" w14:textId="73411ED0" w:rsidR="003A4846" w:rsidRDefault="003A4846" w:rsidP="00996A34">
      <w:pPr>
        <w:pStyle w:val="ListParagraph"/>
        <w:numPr>
          <w:ilvl w:val="1"/>
          <w:numId w:val="1"/>
        </w:numPr>
      </w:pPr>
      <w:r>
        <w:t xml:space="preserve">The asset allocation shall be rebalanced to the target allocations set out above after any quarter in which one or more of the minimum or maximum allocations are exceeded.  Furthermore, in the event of a sudden or significant change in the asset allocation attributable to market conditions, the asset allocation may be rebalanced between quarters. </w:t>
      </w:r>
    </w:p>
    <w:p w14:paraId="1FFF0233" w14:textId="16C59552" w:rsidR="003A4846" w:rsidRDefault="003A4846" w:rsidP="00996A34">
      <w:pPr>
        <w:pStyle w:val="Heading1"/>
        <w:numPr>
          <w:ilvl w:val="0"/>
          <w:numId w:val="1"/>
        </w:numPr>
      </w:pPr>
      <w:bookmarkStart w:id="22" w:name="_Toc63852722"/>
      <w:r>
        <w:t>C</w:t>
      </w:r>
      <w:r w:rsidR="00355716">
        <w:t>OSTS</w:t>
      </w:r>
      <w:bookmarkEnd w:id="22"/>
      <w:r>
        <w:t xml:space="preserve"> </w:t>
      </w:r>
    </w:p>
    <w:p w14:paraId="15042304" w14:textId="302F9069" w:rsidR="003A4846" w:rsidRDefault="003A4846" w:rsidP="00996A34">
      <w:pPr>
        <w:pStyle w:val="ListParagraph"/>
        <w:numPr>
          <w:ilvl w:val="1"/>
          <w:numId w:val="1"/>
        </w:numPr>
      </w:pPr>
      <w:r w:rsidRPr="00AF5975">
        <w:t>The costs associated with the management of each asset class shall be reviewed at least annually.</w:t>
      </w:r>
      <w:r>
        <w:t xml:space="preserve">  It is the Investments’ objective that the total costs of managing the funds, including the investment advisory fees, shall be average or below when compared to the average fees for a similar mix of mutual funds.  Averages from Morningstar Analytical Service shall be used for determining the appropriate average. </w:t>
      </w:r>
    </w:p>
    <w:p w14:paraId="5AC004AD" w14:textId="180CCD1F" w:rsidR="003A4846" w:rsidRDefault="0007713F" w:rsidP="00996A34">
      <w:pPr>
        <w:pStyle w:val="Heading1"/>
        <w:numPr>
          <w:ilvl w:val="0"/>
          <w:numId w:val="1"/>
        </w:numPr>
      </w:pPr>
      <w:bookmarkStart w:id="23" w:name="_Toc63852723"/>
      <w:r>
        <w:t>COMMUNICATIONS</w:t>
      </w:r>
      <w:bookmarkEnd w:id="23"/>
      <w:r w:rsidR="003A4846">
        <w:t xml:space="preserve"> </w:t>
      </w:r>
    </w:p>
    <w:p w14:paraId="3CD07BA6" w14:textId="1A3DBFAA" w:rsidR="003A4846" w:rsidRPr="00AF5975" w:rsidRDefault="003A4846" w:rsidP="003A4846">
      <w:pPr>
        <w:pStyle w:val="ListParagraph"/>
        <w:numPr>
          <w:ilvl w:val="1"/>
          <w:numId w:val="1"/>
        </w:numPr>
      </w:pPr>
      <w:r w:rsidRPr="00AF5975">
        <w:t xml:space="preserve">Unless otherwise requested, the Advisor must furnish the </w:t>
      </w:r>
      <w:r w:rsidR="00AF5975" w:rsidRPr="00AF5975">
        <w:t>Finance</w:t>
      </w:r>
      <w:r w:rsidRPr="00AF5975">
        <w:t xml:space="preserve"> Committee with a quarterly account review detailing investment performance (time-weighted), portfolio holdings, an investment strategy, and the value of the Investments.  The </w:t>
      </w:r>
      <w:r w:rsidR="00AF5975" w:rsidRPr="00AF5975">
        <w:t>Finance</w:t>
      </w:r>
      <w:r w:rsidRPr="00AF5975">
        <w:t xml:space="preserve"> Committee will also receive timely information about changes in investment philosophy, management, ownership, and key personnel of Frank Russell Investment Management Company. </w:t>
      </w:r>
    </w:p>
    <w:p w14:paraId="25246147" w14:textId="793BF244" w:rsidR="003A4846" w:rsidRPr="00AF5975" w:rsidRDefault="00AF5975" w:rsidP="00996A34">
      <w:pPr>
        <w:pStyle w:val="ListParagraph"/>
        <w:numPr>
          <w:ilvl w:val="1"/>
          <w:numId w:val="1"/>
        </w:numPr>
      </w:pPr>
      <w:r>
        <w:lastRenderedPageBreak/>
        <w:t>Finance</w:t>
      </w:r>
      <w:r w:rsidR="003A4846" w:rsidRPr="00AF5975">
        <w:t xml:space="preserve"> Committee meetings will be held quarterly.   </w:t>
      </w:r>
    </w:p>
    <w:p w14:paraId="3892163E" w14:textId="21D615A7" w:rsidR="00C3675F" w:rsidRDefault="003A4846" w:rsidP="003A4846">
      <w:pPr>
        <w:pStyle w:val="ListParagraph"/>
        <w:numPr>
          <w:ilvl w:val="1"/>
          <w:numId w:val="1"/>
        </w:numPr>
      </w:pPr>
      <w:r>
        <w:t xml:space="preserve">The </w:t>
      </w:r>
      <w:r w:rsidR="00AF5975">
        <w:t xml:space="preserve">Finance </w:t>
      </w:r>
      <w:r>
        <w:t xml:space="preserve">Committee may call more frequent meetings if significant concerns arise about the Advisor’s investment strategy or performance of the Investments.   </w:t>
      </w:r>
    </w:p>
    <w:p w14:paraId="06D6ABF2" w14:textId="737C1752" w:rsidR="00996A34" w:rsidRDefault="0007713F" w:rsidP="00996A34">
      <w:pPr>
        <w:keepNext/>
        <w:keepLines/>
        <w:numPr>
          <w:ilvl w:val="0"/>
          <w:numId w:val="1"/>
        </w:numPr>
        <w:spacing w:before="240" w:after="0" w:line="276" w:lineRule="auto"/>
        <w:outlineLvl w:val="0"/>
        <w:rPr>
          <w:rFonts w:asciiTheme="majorHAnsi" w:eastAsiaTheme="majorEastAsia" w:hAnsiTheme="majorHAnsi" w:cstheme="majorBidi"/>
          <w:color w:val="2F5496" w:themeColor="accent1" w:themeShade="BF"/>
          <w:sz w:val="32"/>
          <w:szCs w:val="32"/>
        </w:rPr>
      </w:pPr>
      <w:bookmarkStart w:id="24" w:name="_Toc63852724"/>
      <w:r>
        <w:rPr>
          <w:rFonts w:asciiTheme="majorHAnsi" w:eastAsiaTheme="majorEastAsia" w:hAnsiTheme="majorHAnsi" w:cstheme="majorBidi"/>
          <w:color w:val="2F5496" w:themeColor="accent1" w:themeShade="BF"/>
          <w:sz w:val="32"/>
          <w:szCs w:val="32"/>
        </w:rPr>
        <w:t>RELATED DOCUMENTS AND FORMS</w:t>
      </w:r>
      <w:bookmarkEnd w:id="24"/>
    </w:p>
    <w:p w14:paraId="33DAC412" w14:textId="3027EDB3" w:rsidR="00C3675F" w:rsidRPr="00996A34" w:rsidRDefault="00996A34" w:rsidP="00996A34">
      <w:pPr>
        <w:rPr>
          <w:rFonts w:asciiTheme="majorHAnsi" w:eastAsiaTheme="majorEastAsia" w:hAnsiTheme="majorHAnsi" w:cstheme="majorBidi"/>
          <w:color w:val="2F5496" w:themeColor="accent1" w:themeShade="BF"/>
          <w:sz w:val="32"/>
          <w:szCs w:val="32"/>
        </w:rPr>
      </w:pPr>
      <w:r w:rsidRPr="00996A34">
        <w:t>None</w:t>
      </w:r>
    </w:p>
    <w:p w14:paraId="6AA0B6DC" w14:textId="6DA8CD1B" w:rsidR="00C3675F" w:rsidRPr="00C3675F" w:rsidRDefault="0007713F" w:rsidP="00C3675F">
      <w:pPr>
        <w:keepNext/>
        <w:keepLines/>
        <w:numPr>
          <w:ilvl w:val="0"/>
          <w:numId w:val="1"/>
        </w:numPr>
        <w:spacing w:before="240" w:after="0" w:line="276" w:lineRule="auto"/>
        <w:outlineLvl w:val="0"/>
        <w:rPr>
          <w:rFonts w:asciiTheme="majorHAnsi" w:eastAsiaTheme="majorEastAsia" w:hAnsiTheme="majorHAnsi" w:cstheme="majorBidi"/>
          <w:color w:val="2F5496" w:themeColor="accent1" w:themeShade="BF"/>
          <w:sz w:val="32"/>
          <w:szCs w:val="32"/>
        </w:rPr>
      </w:pPr>
      <w:bookmarkStart w:id="25" w:name="_Toc63852725"/>
      <w:r>
        <w:rPr>
          <w:rFonts w:asciiTheme="majorHAnsi" w:eastAsiaTheme="majorEastAsia" w:hAnsiTheme="majorHAnsi" w:cstheme="majorBidi"/>
          <w:color w:val="2F5496" w:themeColor="accent1" w:themeShade="BF"/>
          <w:sz w:val="32"/>
          <w:szCs w:val="32"/>
        </w:rPr>
        <w:t>NOTIFICATION</w:t>
      </w:r>
      <w:bookmarkEnd w:id="25"/>
    </w:p>
    <w:p w14:paraId="32940B56" w14:textId="746FD580" w:rsidR="00C3675F" w:rsidRPr="00AF5975" w:rsidRDefault="0007713F" w:rsidP="00C3675F">
      <w:pPr>
        <w:numPr>
          <w:ilvl w:val="1"/>
          <w:numId w:val="1"/>
        </w:numPr>
        <w:spacing w:after="200" w:line="276" w:lineRule="auto"/>
        <w:contextualSpacing/>
      </w:pPr>
      <w:r>
        <w:t>Annually, and w</w:t>
      </w:r>
      <w:r w:rsidR="00AE43D0" w:rsidRPr="00AF5975">
        <w:t xml:space="preserve">hen new members join the Finance Committee, the Finance Vice-Chair </w:t>
      </w:r>
      <w:r w:rsidR="00C3675F" w:rsidRPr="00AF5975">
        <w:t>will ensure new board members receive a copy of this policy, are invited to read it, and ask questions.</w:t>
      </w:r>
    </w:p>
    <w:p w14:paraId="7483ADEB" w14:textId="3BAC2678" w:rsidR="00C3675F" w:rsidRDefault="00AE43D0" w:rsidP="00C3675F">
      <w:pPr>
        <w:numPr>
          <w:ilvl w:val="1"/>
          <w:numId w:val="1"/>
        </w:numPr>
        <w:spacing w:after="200" w:line="276" w:lineRule="auto"/>
        <w:contextualSpacing/>
      </w:pPr>
      <w:r w:rsidRPr="00AF5975">
        <w:t xml:space="preserve">The Finance Vice-Chair will ensure a copy of this policy is available for reference </w:t>
      </w:r>
      <w:r w:rsidR="00AF5975" w:rsidRPr="00AF5975">
        <w:t>for each member of the Finance Committee and at each committee meeting</w:t>
      </w:r>
      <w:r w:rsidR="00AF5975">
        <w:t>. This includes the quarterly meetings and other meetings listed in Section 9: Communications.</w:t>
      </w:r>
    </w:p>
    <w:p w14:paraId="564C9F9C" w14:textId="16A7AE40" w:rsidR="00AF5975" w:rsidRPr="00AF5975" w:rsidRDefault="00AF5975" w:rsidP="00C3675F">
      <w:pPr>
        <w:numPr>
          <w:ilvl w:val="1"/>
          <w:numId w:val="1"/>
        </w:numPr>
        <w:spacing w:after="200" w:line="276" w:lineRule="auto"/>
        <w:contextualSpacing/>
      </w:pPr>
      <w:r>
        <w:t xml:space="preserve">The </w:t>
      </w:r>
      <w:r w:rsidR="0007713F">
        <w:t xml:space="preserve">Finance Chair must assure that The </w:t>
      </w:r>
      <w:r>
        <w:t>Advisor furnish</w:t>
      </w:r>
      <w:r w:rsidR="0007713F">
        <w:t>es</w:t>
      </w:r>
      <w:r>
        <w:t xml:space="preserve"> the Finance Committee with an account review at least quarterly as directed in Section 9: Communications.</w:t>
      </w:r>
    </w:p>
    <w:p w14:paraId="65CD8D1A" w14:textId="4D441668" w:rsidR="00C3675F" w:rsidRPr="00C3675F" w:rsidRDefault="0007713F" w:rsidP="00C3675F">
      <w:pPr>
        <w:keepNext/>
        <w:keepLines/>
        <w:numPr>
          <w:ilvl w:val="0"/>
          <w:numId w:val="1"/>
        </w:numPr>
        <w:spacing w:before="240" w:after="0" w:line="276" w:lineRule="auto"/>
        <w:outlineLvl w:val="0"/>
        <w:rPr>
          <w:rFonts w:asciiTheme="majorHAnsi" w:eastAsiaTheme="majorEastAsia" w:hAnsiTheme="majorHAnsi" w:cstheme="majorBidi"/>
          <w:color w:val="2F5496" w:themeColor="accent1" w:themeShade="BF"/>
          <w:sz w:val="32"/>
          <w:szCs w:val="32"/>
        </w:rPr>
      </w:pPr>
      <w:bookmarkStart w:id="26" w:name="_Toc63852726"/>
      <w:r>
        <w:rPr>
          <w:rFonts w:asciiTheme="majorHAnsi" w:eastAsiaTheme="majorEastAsia" w:hAnsiTheme="majorHAnsi" w:cstheme="majorBidi"/>
          <w:color w:val="2F5496" w:themeColor="accent1" w:themeShade="BF"/>
          <w:sz w:val="32"/>
          <w:szCs w:val="32"/>
        </w:rPr>
        <w:t>DISTRIBUTION OF POLICY AND UPDATING</w:t>
      </w:r>
      <w:bookmarkEnd w:id="26"/>
    </w:p>
    <w:p w14:paraId="19AAF9A3" w14:textId="77777777" w:rsidR="00C3675F" w:rsidRPr="00AE43D0" w:rsidRDefault="00C3675F" w:rsidP="00C3675F">
      <w:pPr>
        <w:numPr>
          <w:ilvl w:val="1"/>
          <w:numId w:val="1"/>
        </w:numPr>
        <w:spacing w:after="0" w:line="276" w:lineRule="auto"/>
        <w:contextualSpacing/>
      </w:pPr>
      <w:r w:rsidRPr="00AE43D0">
        <w:t xml:space="preserve">Policy will be posted on the UTSI </w:t>
      </w:r>
      <w:proofErr w:type="gramStart"/>
      <w:r w:rsidRPr="00AE43D0">
        <w:t>website</w:t>
      </w:r>
      <w:proofErr w:type="gramEnd"/>
    </w:p>
    <w:p w14:paraId="4F3797DD" w14:textId="584B76A7" w:rsidR="00C3675F" w:rsidRPr="00AE43D0" w:rsidRDefault="00C639B8" w:rsidP="00C3675F">
      <w:pPr>
        <w:numPr>
          <w:ilvl w:val="1"/>
          <w:numId w:val="1"/>
        </w:numPr>
        <w:spacing w:after="0" w:line="276" w:lineRule="auto"/>
        <w:contextualSpacing/>
      </w:pPr>
      <w:r>
        <w:t>The Governance Committee assures this p</w:t>
      </w:r>
      <w:r w:rsidR="00C3675F" w:rsidRPr="00AE43D0">
        <w:t xml:space="preserve">olicy </w:t>
      </w:r>
      <w:r>
        <w:t>is</w:t>
      </w:r>
      <w:r w:rsidR="00C3675F" w:rsidRPr="00AE43D0">
        <w:t xml:space="preserve"> given to new </w:t>
      </w:r>
      <w:r>
        <w:t>Finance Chairs</w:t>
      </w:r>
      <w:r w:rsidR="00C3675F" w:rsidRPr="00AE43D0">
        <w:t xml:space="preserve"> at orientation</w:t>
      </w:r>
      <w:r>
        <w:t>.</w:t>
      </w:r>
    </w:p>
    <w:p w14:paraId="3405C0AD" w14:textId="4111CD8F" w:rsidR="00C3675F" w:rsidRPr="00AE43D0" w:rsidRDefault="00C3675F" w:rsidP="00AE43D0">
      <w:pPr>
        <w:numPr>
          <w:ilvl w:val="1"/>
          <w:numId w:val="1"/>
        </w:numPr>
        <w:spacing w:after="0" w:line="276" w:lineRule="auto"/>
        <w:contextualSpacing/>
      </w:pPr>
      <w:r w:rsidRPr="00AE43D0">
        <w:t xml:space="preserve">At least annually, the </w:t>
      </w:r>
      <w:r w:rsidR="00AE43D0" w:rsidRPr="00AE43D0">
        <w:t>Finance</w:t>
      </w:r>
      <w:r w:rsidRPr="00AE43D0">
        <w:t xml:space="preserve"> Committee wil</w:t>
      </w:r>
      <w:r w:rsidR="00AE43D0" w:rsidRPr="00AE43D0">
        <w:t>l r</w:t>
      </w:r>
      <w:r w:rsidRPr="00AE43D0">
        <w:t>eview this policy in its entirety</w:t>
      </w:r>
      <w:r w:rsidR="00AE43D0" w:rsidRPr="00AE43D0">
        <w:t xml:space="preserve"> and give</w:t>
      </w:r>
      <w:r w:rsidRPr="00AE43D0">
        <w:t xml:space="preserve"> any needed updates</w:t>
      </w:r>
      <w:r w:rsidR="00AE43D0" w:rsidRPr="00AE43D0">
        <w:t xml:space="preserve"> to the Governance Committee</w:t>
      </w:r>
      <w:r w:rsidR="00AE43D0" w:rsidRPr="00AE43D0">
        <w:rPr>
          <w:i/>
          <w:iCs/>
        </w:rPr>
        <w:t>.</w:t>
      </w:r>
      <w:r w:rsidR="00AF5975">
        <w:t xml:space="preserve"> This includes costs as directed in Section 8: Costs.</w:t>
      </w:r>
    </w:p>
    <w:p w14:paraId="68A31A27" w14:textId="2966BBD9" w:rsidR="00C3675F" w:rsidRPr="00AE43D0" w:rsidRDefault="00C3675F" w:rsidP="00C3675F">
      <w:pPr>
        <w:numPr>
          <w:ilvl w:val="1"/>
          <w:numId w:val="1"/>
        </w:numPr>
        <w:spacing w:after="0" w:line="276" w:lineRule="auto"/>
        <w:contextualSpacing/>
      </w:pPr>
      <w:r w:rsidRPr="00AE43D0">
        <w:t>At least annually, the Governance Committee</w:t>
      </w:r>
      <w:r w:rsidR="0007713F">
        <w:t xml:space="preserve"> </w:t>
      </w:r>
      <w:r w:rsidRPr="00AE43D0">
        <w:t xml:space="preserve">will </w:t>
      </w:r>
      <w:r w:rsidR="00AE43D0" w:rsidRPr="00AE43D0">
        <w:t xml:space="preserve">check with the Finance Vice-Chair to </w:t>
      </w:r>
      <w:r w:rsidRPr="00AE43D0">
        <w:t xml:space="preserve">receive policy updates from the </w:t>
      </w:r>
      <w:r w:rsidR="00AE43D0" w:rsidRPr="00AE43D0">
        <w:t>Finance Committee</w:t>
      </w:r>
      <w:r w:rsidRPr="00AE43D0">
        <w:t xml:space="preserve"> and update and post revised policies as needed.</w:t>
      </w:r>
    </w:p>
    <w:p w14:paraId="110D9550" w14:textId="77777777" w:rsidR="00C3675F" w:rsidRDefault="003A4846" w:rsidP="00C3675F">
      <w:r>
        <w:t xml:space="preserve"> </w:t>
      </w:r>
    </w:p>
    <w:tbl>
      <w:tblPr>
        <w:tblW w:w="0" w:type="auto"/>
        <w:tblCellMar>
          <w:left w:w="0" w:type="dxa"/>
          <w:right w:w="0" w:type="dxa"/>
        </w:tblCellMar>
        <w:tblLook w:val="04A0" w:firstRow="1" w:lastRow="0" w:firstColumn="1" w:lastColumn="0" w:noHBand="0" w:noVBand="1"/>
      </w:tblPr>
      <w:tblGrid>
        <w:gridCol w:w="1032"/>
        <w:gridCol w:w="1107"/>
        <w:gridCol w:w="4215"/>
        <w:gridCol w:w="1604"/>
        <w:gridCol w:w="1382"/>
      </w:tblGrid>
      <w:tr w:rsidR="00C3675F" w:rsidRPr="00C3675F" w14:paraId="31354034" w14:textId="77777777" w:rsidTr="00B648F8">
        <w:tc>
          <w:tcPr>
            <w:tcW w:w="9340"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125C64C" w14:textId="65A3C3E2" w:rsidR="00C3675F" w:rsidRPr="00C3675F" w:rsidRDefault="00355716" w:rsidP="00C3675F">
            <w:pPr>
              <w:keepNext/>
              <w:keepLines/>
              <w:spacing w:before="240" w:after="0" w:line="276" w:lineRule="auto"/>
              <w:outlineLvl w:val="0"/>
              <w:rPr>
                <w:rFonts w:asciiTheme="majorHAnsi" w:eastAsiaTheme="majorEastAsia" w:hAnsiTheme="majorHAnsi" w:cstheme="majorBidi"/>
                <w:color w:val="2F5496" w:themeColor="accent1" w:themeShade="BF"/>
                <w:sz w:val="32"/>
                <w:szCs w:val="32"/>
              </w:rPr>
            </w:pPr>
            <w:bookmarkStart w:id="27" w:name="_Toc63852727"/>
            <w:r>
              <w:rPr>
                <w:rFonts w:asciiTheme="majorHAnsi" w:eastAsiaTheme="majorEastAsia" w:hAnsiTheme="majorHAnsi" w:cstheme="majorBidi"/>
                <w:color w:val="2F5496" w:themeColor="accent1" w:themeShade="BF"/>
                <w:sz w:val="32"/>
                <w:szCs w:val="32"/>
              </w:rPr>
              <w:t>CHANGE LOG</w:t>
            </w:r>
            <w:bookmarkEnd w:id="27"/>
          </w:p>
        </w:tc>
      </w:tr>
      <w:tr w:rsidR="00C3675F" w:rsidRPr="00C3675F" w14:paraId="1184A144" w14:textId="77777777" w:rsidTr="00B648F8">
        <w:tc>
          <w:tcPr>
            <w:tcW w:w="1032"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62ECE8A0" w14:textId="77777777" w:rsidR="00C3675F" w:rsidRPr="0007713F" w:rsidRDefault="00C3675F" w:rsidP="00C3675F">
            <w:pPr>
              <w:spacing w:after="0" w:line="240" w:lineRule="auto"/>
              <w:rPr>
                <w:rFonts w:cstheme="minorHAnsi"/>
                <w:b/>
                <w:bCs/>
              </w:rPr>
            </w:pPr>
            <w:r w:rsidRPr="0007713F">
              <w:rPr>
                <w:rFonts w:cstheme="minorHAnsi"/>
                <w:b/>
                <w:bCs/>
              </w:rPr>
              <w:t>Version</w:t>
            </w:r>
          </w:p>
        </w:tc>
        <w:tc>
          <w:tcPr>
            <w:tcW w:w="1107" w:type="dxa"/>
            <w:tcBorders>
              <w:top w:val="nil"/>
              <w:left w:val="nil"/>
              <w:bottom w:val="single" w:sz="4" w:space="0" w:color="auto"/>
              <w:right w:val="single" w:sz="8" w:space="0" w:color="auto"/>
            </w:tcBorders>
            <w:tcMar>
              <w:top w:w="0" w:type="dxa"/>
              <w:left w:w="108" w:type="dxa"/>
              <w:bottom w:w="0" w:type="dxa"/>
              <w:right w:w="108" w:type="dxa"/>
            </w:tcMar>
            <w:hideMark/>
          </w:tcPr>
          <w:p w14:paraId="35A524E2" w14:textId="77777777" w:rsidR="00C3675F" w:rsidRPr="0007713F" w:rsidRDefault="00C3675F" w:rsidP="00C3675F">
            <w:pPr>
              <w:spacing w:after="0" w:line="240" w:lineRule="auto"/>
              <w:rPr>
                <w:rFonts w:cstheme="minorHAnsi"/>
                <w:b/>
                <w:bCs/>
              </w:rPr>
            </w:pPr>
            <w:r w:rsidRPr="0007713F">
              <w:rPr>
                <w:rFonts w:cstheme="minorHAnsi"/>
                <w:b/>
                <w:bCs/>
              </w:rPr>
              <w:t>Date</w:t>
            </w:r>
          </w:p>
        </w:tc>
        <w:tc>
          <w:tcPr>
            <w:tcW w:w="4215" w:type="dxa"/>
            <w:tcBorders>
              <w:top w:val="nil"/>
              <w:left w:val="nil"/>
              <w:bottom w:val="single" w:sz="4" w:space="0" w:color="auto"/>
              <w:right w:val="single" w:sz="8" w:space="0" w:color="auto"/>
            </w:tcBorders>
            <w:tcMar>
              <w:top w:w="0" w:type="dxa"/>
              <w:left w:w="108" w:type="dxa"/>
              <w:bottom w:w="0" w:type="dxa"/>
              <w:right w:w="108" w:type="dxa"/>
            </w:tcMar>
            <w:hideMark/>
          </w:tcPr>
          <w:p w14:paraId="1B84B504" w14:textId="77777777" w:rsidR="00C3675F" w:rsidRPr="0007713F" w:rsidRDefault="00C3675F" w:rsidP="00C3675F">
            <w:pPr>
              <w:spacing w:after="0" w:line="240" w:lineRule="auto"/>
              <w:rPr>
                <w:rFonts w:cstheme="minorHAnsi"/>
                <w:b/>
                <w:bCs/>
              </w:rPr>
            </w:pPr>
            <w:r w:rsidRPr="0007713F">
              <w:rPr>
                <w:rFonts w:cstheme="minorHAnsi"/>
                <w:b/>
                <w:bCs/>
              </w:rPr>
              <w:t>Description of Change/Section(s)</w:t>
            </w:r>
          </w:p>
        </w:tc>
        <w:tc>
          <w:tcPr>
            <w:tcW w:w="1604" w:type="dxa"/>
            <w:tcBorders>
              <w:top w:val="nil"/>
              <w:left w:val="nil"/>
              <w:bottom w:val="single" w:sz="4" w:space="0" w:color="auto"/>
              <w:right w:val="single" w:sz="8" w:space="0" w:color="auto"/>
            </w:tcBorders>
            <w:tcMar>
              <w:top w:w="0" w:type="dxa"/>
              <w:left w:w="108" w:type="dxa"/>
              <w:bottom w:w="0" w:type="dxa"/>
              <w:right w:w="108" w:type="dxa"/>
            </w:tcMar>
            <w:hideMark/>
          </w:tcPr>
          <w:p w14:paraId="4D2115CC" w14:textId="77777777" w:rsidR="00C3675F" w:rsidRPr="0007713F" w:rsidRDefault="00C3675F" w:rsidP="00C3675F">
            <w:pPr>
              <w:spacing w:after="0" w:line="240" w:lineRule="auto"/>
              <w:rPr>
                <w:rFonts w:cstheme="minorHAnsi"/>
                <w:b/>
                <w:bCs/>
              </w:rPr>
            </w:pPr>
            <w:r w:rsidRPr="0007713F">
              <w:rPr>
                <w:rFonts w:cstheme="minorHAnsi"/>
                <w:b/>
                <w:bCs/>
              </w:rPr>
              <w:t>Author or Editor</w:t>
            </w:r>
          </w:p>
        </w:tc>
        <w:tc>
          <w:tcPr>
            <w:tcW w:w="1382" w:type="dxa"/>
            <w:tcBorders>
              <w:top w:val="nil"/>
              <w:left w:val="nil"/>
              <w:bottom w:val="single" w:sz="4" w:space="0" w:color="auto"/>
              <w:right w:val="single" w:sz="8" w:space="0" w:color="auto"/>
            </w:tcBorders>
            <w:tcMar>
              <w:top w:w="0" w:type="dxa"/>
              <w:left w:w="108" w:type="dxa"/>
              <w:bottom w:w="0" w:type="dxa"/>
              <w:right w:w="108" w:type="dxa"/>
            </w:tcMar>
            <w:hideMark/>
          </w:tcPr>
          <w:p w14:paraId="094E078F" w14:textId="77777777" w:rsidR="00C3675F" w:rsidRPr="0007713F" w:rsidRDefault="00C3675F" w:rsidP="00C3675F">
            <w:pPr>
              <w:spacing w:after="0" w:line="240" w:lineRule="auto"/>
              <w:rPr>
                <w:rFonts w:cstheme="minorHAnsi"/>
                <w:b/>
                <w:bCs/>
              </w:rPr>
            </w:pPr>
            <w:r w:rsidRPr="0007713F">
              <w:rPr>
                <w:rFonts w:cstheme="minorHAnsi"/>
                <w:b/>
                <w:bCs/>
              </w:rPr>
              <w:t>Authority</w:t>
            </w:r>
          </w:p>
        </w:tc>
      </w:tr>
      <w:tr w:rsidR="00C3675F" w:rsidRPr="00C3675F" w14:paraId="7B6D97F3" w14:textId="77777777" w:rsidTr="00B648F8">
        <w:trPr>
          <w:trHeight w:val="251"/>
        </w:trPr>
        <w:tc>
          <w:tcPr>
            <w:tcW w:w="10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2B568A" w14:textId="77777777" w:rsidR="00C3675F" w:rsidRPr="00C3675F" w:rsidRDefault="00C3675F" w:rsidP="00C3675F">
            <w:pPr>
              <w:spacing w:after="0" w:line="240" w:lineRule="auto"/>
              <w:rPr>
                <w:rFonts w:cstheme="minorHAnsi"/>
              </w:rPr>
            </w:pPr>
            <w:r w:rsidRPr="00C3675F">
              <w:rPr>
                <w:rFonts w:cstheme="minorHAnsi"/>
              </w:rPr>
              <w:t>1</w:t>
            </w:r>
          </w:p>
        </w:tc>
        <w:tc>
          <w:tcPr>
            <w:tcW w:w="11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3C5C0" w14:textId="3ED16405" w:rsidR="00C3675F" w:rsidRPr="00C3675F" w:rsidRDefault="0007713F" w:rsidP="00C3675F">
            <w:pPr>
              <w:spacing w:after="0" w:line="240" w:lineRule="auto"/>
              <w:rPr>
                <w:rFonts w:cstheme="minorHAnsi"/>
              </w:rPr>
            </w:pPr>
            <w:r>
              <w:rPr>
                <w:rFonts w:cstheme="minorHAnsi"/>
              </w:rPr>
              <w:t>5-12-2020</w:t>
            </w:r>
          </w:p>
        </w:tc>
        <w:tc>
          <w:tcPr>
            <w:tcW w:w="4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E61385" w14:textId="2842BE8D" w:rsidR="00C3675F" w:rsidRPr="00C3675F" w:rsidRDefault="00F01C45" w:rsidP="00C3675F">
            <w:pPr>
              <w:spacing w:after="0" w:line="240" w:lineRule="auto"/>
              <w:rPr>
                <w:rFonts w:cstheme="minorHAnsi"/>
              </w:rPr>
            </w:pPr>
            <w:r>
              <w:rPr>
                <w:rFonts w:cstheme="minorHAnsi"/>
              </w:rPr>
              <w:t>Newly adopted policy based on USA Swimming Investment policy</w:t>
            </w:r>
          </w:p>
        </w:tc>
        <w:tc>
          <w:tcPr>
            <w:tcW w:w="16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8794B4" w14:textId="2DF3B7D3" w:rsidR="00C3675F" w:rsidRPr="00C3675F" w:rsidRDefault="00F01C45" w:rsidP="00C3675F">
            <w:pPr>
              <w:spacing w:after="0" w:line="240" w:lineRule="auto"/>
              <w:rPr>
                <w:rFonts w:cstheme="minorHAnsi"/>
              </w:rPr>
            </w:pPr>
            <w:r>
              <w:rPr>
                <w:rFonts w:cstheme="minorHAnsi"/>
              </w:rPr>
              <w:t>Shane Lamb and Cathy Vaughan</w:t>
            </w:r>
          </w:p>
        </w:tc>
        <w:tc>
          <w:tcPr>
            <w:tcW w:w="13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0B0DB" w14:textId="77777777" w:rsidR="00C3675F" w:rsidRPr="00C3675F" w:rsidRDefault="00C3675F" w:rsidP="00C3675F">
            <w:pPr>
              <w:spacing w:after="0" w:line="240" w:lineRule="auto"/>
              <w:rPr>
                <w:rFonts w:cstheme="minorHAnsi"/>
              </w:rPr>
            </w:pPr>
            <w:r w:rsidRPr="00C3675F">
              <w:rPr>
                <w:rFonts w:cstheme="minorHAnsi"/>
              </w:rPr>
              <w:t>BOD</w:t>
            </w:r>
          </w:p>
        </w:tc>
      </w:tr>
      <w:tr w:rsidR="0007713F" w:rsidRPr="00C3675F" w14:paraId="6AABB40A" w14:textId="77777777" w:rsidTr="00B648F8">
        <w:trPr>
          <w:trHeight w:val="251"/>
        </w:trPr>
        <w:tc>
          <w:tcPr>
            <w:tcW w:w="10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244CEC" w14:textId="5826E2A3" w:rsidR="0007713F" w:rsidRPr="00C3675F" w:rsidRDefault="0007713F" w:rsidP="00C3675F">
            <w:pPr>
              <w:spacing w:after="0" w:line="240" w:lineRule="auto"/>
              <w:rPr>
                <w:rFonts w:cstheme="minorHAnsi"/>
              </w:rPr>
            </w:pPr>
            <w:r>
              <w:rPr>
                <w:rFonts w:cstheme="minorHAnsi"/>
              </w:rPr>
              <w:t>2</w:t>
            </w:r>
          </w:p>
        </w:tc>
        <w:tc>
          <w:tcPr>
            <w:tcW w:w="11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A7D2D4" w14:textId="0ACAE87C" w:rsidR="0007713F" w:rsidRDefault="0007713F" w:rsidP="00C3675F">
            <w:pPr>
              <w:spacing w:after="0" w:line="240" w:lineRule="auto"/>
              <w:rPr>
                <w:rFonts w:cstheme="minorHAnsi"/>
              </w:rPr>
            </w:pPr>
            <w:r>
              <w:rPr>
                <w:rFonts w:cstheme="minorHAnsi"/>
              </w:rPr>
              <w:t>2-2-2021</w:t>
            </w:r>
          </w:p>
        </w:tc>
        <w:tc>
          <w:tcPr>
            <w:tcW w:w="4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4FCCD6" w14:textId="08398DF0" w:rsidR="0007713F" w:rsidRPr="0007713F" w:rsidRDefault="0007713F" w:rsidP="00C3675F">
            <w:pPr>
              <w:spacing w:after="0" w:line="240" w:lineRule="auto"/>
              <w:rPr>
                <w:rFonts w:cstheme="minorHAnsi"/>
              </w:rPr>
            </w:pPr>
            <w:r>
              <w:rPr>
                <w:rFonts w:cstheme="minorHAnsi"/>
              </w:rPr>
              <w:t xml:space="preserve">Standardized headings and correlated with </w:t>
            </w:r>
            <w:r>
              <w:rPr>
                <w:rFonts w:cstheme="minorHAnsi"/>
                <w:i/>
                <w:iCs/>
              </w:rPr>
              <w:t>Leadership Task Calendar.</w:t>
            </w:r>
          </w:p>
        </w:tc>
        <w:tc>
          <w:tcPr>
            <w:tcW w:w="16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71DB9A" w14:textId="1EB9F2DA" w:rsidR="0007713F" w:rsidRDefault="0007713F" w:rsidP="00C3675F">
            <w:pPr>
              <w:spacing w:after="0" w:line="240" w:lineRule="auto"/>
              <w:rPr>
                <w:rFonts w:cstheme="minorHAnsi"/>
              </w:rPr>
            </w:pPr>
            <w:r>
              <w:rPr>
                <w:rFonts w:cstheme="minorHAnsi"/>
              </w:rPr>
              <w:t>Cathy Vaughan</w:t>
            </w:r>
          </w:p>
        </w:tc>
        <w:tc>
          <w:tcPr>
            <w:tcW w:w="13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025CB6" w14:textId="51937AE8" w:rsidR="0007713F" w:rsidRPr="00C3675F" w:rsidRDefault="0007713F" w:rsidP="00C3675F">
            <w:pPr>
              <w:spacing w:after="0" w:line="240" w:lineRule="auto"/>
              <w:rPr>
                <w:rFonts w:cstheme="minorHAnsi"/>
              </w:rPr>
            </w:pPr>
            <w:r>
              <w:rPr>
                <w:rFonts w:cstheme="minorHAnsi"/>
              </w:rPr>
              <w:t>Minor Changes – Delegated BOD Authority</w:t>
            </w:r>
          </w:p>
        </w:tc>
      </w:tr>
    </w:tbl>
    <w:p w14:paraId="4949A21A" w14:textId="78207AA2" w:rsidR="00C506E9" w:rsidRDefault="008D5938" w:rsidP="00C3675F"/>
    <w:sectPr w:rsidR="00C506E9">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ABCD37" w14:textId="77777777" w:rsidR="008D5938" w:rsidRDefault="008D5938" w:rsidP="002069DC">
      <w:pPr>
        <w:spacing w:after="0" w:line="240" w:lineRule="auto"/>
      </w:pPr>
      <w:r>
        <w:separator/>
      </w:r>
    </w:p>
  </w:endnote>
  <w:endnote w:type="continuationSeparator" w:id="0">
    <w:p w14:paraId="12724B0D" w14:textId="77777777" w:rsidR="008D5938" w:rsidRDefault="008D5938" w:rsidP="002069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86183038"/>
      <w:docPartObj>
        <w:docPartGallery w:val="Page Numbers (Bottom of Page)"/>
        <w:docPartUnique/>
      </w:docPartObj>
    </w:sdtPr>
    <w:sdtEndPr>
      <w:rPr>
        <w:noProof/>
      </w:rPr>
    </w:sdtEndPr>
    <w:sdtContent>
      <w:p w14:paraId="1CC74FA5" w14:textId="35125647" w:rsidR="00A47E07" w:rsidRDefault="00A47E0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63AF334" w14:textId="77777777" w:rsidR="00A47E07" w:rsidRDefault="00A47E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731E2C" w14:textId="77777777" w:rsidR="008D5938" w:rsidRDefault="008D5938" w:rsidP="002069DC">
      <w:pPr>
        <w:spacing w:after="0" w:line="240" w:lineRule="auto"/>
      </w:pPr>
      <w:r>
        <w:separator/>
      </w:r>
    </w:p>
  </w:footnote>
  <w:footnote w:type="continuationSeparator" w:id="0">
    <w:p w14:paraId="3756CB1F" w14:textId="77777777" w:rsidR="008D5938" w:rsidRDefault="008D5938" w:rsidP="002069DC">
      <w:pPr>
        <w:spacing w:after="0" w:line="240" w:lineRule="auto"/>
      </w:pPr>
      <w:r>
        <w:continuationSeparator/>
      </w:r>
    </w:p>
  </w:footnote>
  <w:footnote w:id="1">
    <w:p w14:paraId="098271E3" w14:textId="4D869B6F" w:rsidR="00080B0A" w:rsidRDefault="00080B0A">
      <w:pPr>
        <w:pStyle w:val="FootnoteText"/>
      </w:pPr>
      <w:r>
        <w:rPr>
          <w:rStyle w:val="FootnoteReference"/>
        </w:rPr>
        <w:footnoteRef/>
      </w:r>
      <w:r>
        <w:t xml:space="preserve"> Mathematically calculated returns are based on historic asset class returns. Based on First Western Trust Investment Advisor’s capital market assumptions, the expected value returns are believed to be in the 5%-6% range gross of investment advisory fees.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FD5DD3" w14:textId="6A75BBDA" w:rsidR="002069DC" w:rsidRPr="002069DC" w:rsidRDefault="002069DC">
    <w:pPr>
      <w:pStyle w:val="Header"/>
      <w:rPr>
        <w:i/>
        <w:iCs/>
      </w:rPr>
    </w:pPr>
    <w:r>
      <w:t>43</w:t>
    </w:r>
    <w:r w:rsidR="00A149C5">
      <w:t>2</w:t>
    </w:r>
    <w:r>
      <w:t xml:space="preserve"> </w:t>
    </w:r>
    <w:r w:rsidR="00A149C5">
      <w:t>Investment</w:t>
    </w:r>
    <w:r>
      <w:t xml:space="preserve"> </w:t>
    </w:r>
    <w:r w:rsidRPr="0015723E">
      <w:t xml:space="preserve">Policy </w:t>
    </w:r>
    <w:r w:rsidR="006E2C7B">
      <w:t>2/2/2021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F202D1"/>
    <w:multiLevelType w:val="multilevel"/>
    <w:tmpl w:val="9252E8B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11D3E8E"/>
    <w:multiLevelType w:val="multilevel"/>
    <w:tmpl w:val="9252E8B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48E04B6"/>
    <w:multiLevelType w:val="multilevel"/>
    <w:tmpl w:val="9252E8B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65E0C95"/>
    <w:multiLevelType w:val="multilevel"/>
    <w:tmpl w:val="9252E8B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86027C9"/>
    <w:multiLevelType w:val="multilevel"/>
    <w:tmpl w:val="9252E8B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66C1A29"/>
    <w:multiLevelType w:val="hybridMultilevel"/>
    <w:tmpl w:val="B4C20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490C5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B833682"/>
    <w:multiLevelType w:val="multilevel"/>
    <w:tmpl w:val="9252E8B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52944B7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32C1446"/>
    <w:multiLevelType w:val="hybridMultilevel"/>
    <w:tmpl w:val="EDFA0D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61119C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AFA03A2"/>
    <w:multiLevelType w:val="hybridMultilevel"/>
    <w:tmpl w:val="695A40EA"/>
    <w:lvl w:ilvl="0" w:tplc="CE94B4AA">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2" w15:restartNumberingAfterBreak="0">
    <w:nsid w:val="617B733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DA068A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83739D4"/>
    <w:multiLevelType w:val="multilevel"/>
    <w:tmpl w:val="9252E8B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A4C16C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6"/>
  </w:num>
  <w:num w:numId="3">
    <w:abstractNumId w:val="15"/>
  </w:num>
  <w:num w:numId="4">
    <w:abstractNumId w:val="8"/>
  </w:num>
  <w:num w:numId="5">
    <w:abstractNumId w:val="12"/>
  </w:num>
  <w:num w:numId="6">
    <w:abstractNumId w:val="10"/>
  </w:num>
  <w:num w:numId="7">
    <w:abstractNumId w:val="13"/>
  </w:num>
  <w:num w:numId="8">
    <w:abstractNumId w:val="11"/>
  </w:num>
  <w:num w:numId="9">
    <w:abstractNumId w:val="14"/>
  </w:num>
  <w:num w:numId="10">
    <w:abstractNumId w:val="3"/>
  </w:num>
  <w:num w:numId="11">
    <w:abstractNumId w:val="2"/>
  </w:num>
  <w:num w:numId="12">
    <w:abstractNumId w:val="1"/>
  </w:num>
  <w:num w:numId="13">
    <w:abstractNumId w:val="9"/>
  </w:num>
  <w:num w:numId="14">
    <w:abstractNumId w:val="5"/>
  </w:num>
  <w:num w:numId="15">
    <w:abstractNumId w:val="0"/>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846"/>
    <w:rsid w:val="00051C2B"/>
    <w:rsid w:val="00057CC4"/>
    <w:rsid w:val="0007713F"/>
    <w:rsid w:val="00080B0A"/>
    <w:rsid w:val="000A6C1C"/>
    <w:rsid w:val="00135B46"/>
    <w:rsid w:val="00147990"/>
    <w:rsid w:val="0015723E"/>
    <w:rsid w:val="00163C6A"/>
    <w:rsid w:val="0018042C"/>
    <w:rsid w:val="001F6B45"/>
    <w:rsid w:val="002069DC"/>
    <w:rsid w:val="00276824"/>
    <w:rsid w:val="0028080A"/>
    <w:rsid w:val="00292264"/>
    <w:rsid w:val="002D6C1D"/>
    <w:rsid w:val="0031007E"/>
    <w:rsid w:val="00355716"/>
    <w:rsid w:val="00371BF4"/>
    <w:rsid w:val="003766AB"/>
    <w:rsid w:val="003A4846"/>
    <w:rsid w:val="003E7CA9"/>
    <w:rsid w:val="003F565E"/>
    <w:rsid w:val="00411142"/>
    <w:rsid w:val="0041364B"/>
    <w:rsid w:val="005101E1"/>
    <w:rsid w:val="005804B9"/>
    <w:rsid w:val="005D1871"/>
    <w:rsid w:val="005D216F"/>
    <w:rsid w:val="005E3AB4"/>
    <w:rsid w:val="006E2C7B"/>
    <w:rsid w:val="007B0B73"/>
    <w:rsid w:val="008110A7"/>
    <w:rsid w:val="008A50A5"/>
    <w:rsid w:val="008D5938"/>
    <w:rsid w:val="00905469"/>
    <w:rsid w:val="00965E39"/>
    <w:rsid w:val="00996A34"/>
    <w:rsid w:val="009B22BB"/>
    <w:rsid w:val="00A149C5"/>
    <w:rsid w:val="00A47E07"/>
    <w:rsid w:val="00A74CF9"/>
    <w:rsid w:val="00AD5964"/>
    <w:rsid w:val="00AE43D0"/>
    <w:rsid w:val="00AF5975"/>
    <w:rsid w:val="00C03D0B"/>
    <w:rsid w:val="00C3675F"/>
    <w:rsid w:val="00C639B8"/>
    <w:rsid w:val="00C85AA5"/>
    <w:rsid w:val="00C96B7A"/>
    <w:rsid w:val="00C97F99"/>
    <w:rsid w:val="00D0121C"/>
    <w:rsid w:val="00D47F09"/>
    <w:rsid w:val="00D6115E"/>
    <w:rsid w:val="00D815E4"/>
    <w:rsid w:val="00E82D72"/>
    <w:rsid w:val="00F01C45"/>
    <w:rsid w:val="00F02D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2A7D96"/>
  <w15:chartTrackingRefBased/>
  <w15:docId w15:val="{A4BB374F-FF03-403B-9FC5-A638E9A7B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675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4799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9226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69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69DC"/>
  </w:style>
  <w:style w:type="paragraph" w:styleId="Footer">
    <w:name w:val="footer"/>
    <w:basedOn w:val="Normal"/>
    <w:link w:val="FooterChar"/>
    <w:uiPriority w:val="99"/>
    <w:unhideWhenUsed/>
    <w:rsid w:val="002069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69DC"/>
  </w:style>
  <w:style w:type="table" w:styleId="TableGrid">
    <w:name w:val="Table Grid"/>
    <w:basedOn w:val="TableNormal"/>
    <w:uiPriority w:val="39"/>
    <w:rsid w:val="00C367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3675F"/>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C3675F"/>
    <w:pPr>
      <w:outlineLvl w:val="9"/>
    </w:pPr>
  </w:style>
  <w:style w:type="paragraph" w:styleId="TOC1">
    <w:name w:val="toc 1"/>
    <w:basedOn w:val="Normal"/>
    <w:next w:val="Normal"/>
    <w:autoRedefine/>
    <w:uiPriority w:val="39"/>
    <w:unhideWhenUsed/>
    <w:rsid w:val="00C3675F"/>
    <w:pPr>
      <w:spacing w:after="100"/>
    </w:pPr>
  </w:style>
  <w:style w:type="character" w:styleId="Hyperlink">
    <w:name w:val="Hyperlink"/>
    <w:basedOn w:val="DefaultParagraphFont"/>
    <w:uiPriority w:val="99"/>
    <w:unhideWhenUsed/>
    <w:rsid w:val="00C3675F"/>
    <w:rPr>
      <w:color w:val="0563C1" w:themeColor="hyperlink"/>
      <w:u w:val="single"/>
    </w:rPr>
  </w:style>
  <w:style w:type="paragraph" w:styleId="ListParagraph">
    <w:name w:val="List Paragraph"/>
    <w:basedOn w:val="Normal"/>
    <w:uiPriority w:val="34"/>
    <w:qFormat/>
    <w:rsid w:val="000A6C1C"/>
    <w:pPr>
      <w:ind w:left="720"/>
      <w:contextualSpacing/>
    </w:pPr>
  </w:style>
  <w:style w:type="character" w:customStyle="1" w:styleId="Heading2Char">
    <w:name w:val="Heading 2 Char"/>
    <w:basedOn w:val="DefaultParagraphFont"/>
    <w:link w:val="Heading2"/>
    <w:uiPriority w:val="9"/>
    <w:rsid w:val="00147990"/>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92264"/>
    <w:rPr>
      <w:rFonts w:asciiTheme="majorHAnsi" w:eastAsiaTheme="majorEastAsia" w:hAnsiTheme="majorHAnsi" w:cstheme="majorBidi"/>
      <w:color w:val="1F3763" w:themeColor="accent1" w:themeShade="7F"/>
      <w:sz w:val="24"/>
      <w:szCs w:val="24"/>
    </w:rPr>
  </w:style>
  <w:style w:type="paragraph" w:styleId="FootnoteText">
    <w:name w:val="footnote text"/>
    <w:basedOn w:val="Normal"/>
    <w:link w:val="FootnoteTextChar"/>
    <w:uiPriority w:val="99"/>
    <w:semiHidden/>
    <w:unhideWhenUsed/>
    <w:rsid w:val="00080B0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80B0A"/>
    <w:rPr>
      <w:sz w:val="20"/>
      <w:szCs w:val="20"/>
    </w:rPr>
  </w:style>
  <w:style w:type="character" w:styleId="FootnoteReference">
    <w:name w:val="footnote reference"/>
    <w:basedOn w:val="DefaultParagraphFont"/>
    <w:uiPriority w:val="99"/>
    <w:semiHidden/>
    <w:unhideWhenUsed/>
    <w:rsid w:val="00080B0A"/>
    <w:rPr>
      <w:vertAlign w:val="superscript"/>
    </w:rPr>
  </w:style>
  <w:style w:type="paragraph" w:styleId="TOC2">
    <w:name w:val="toc 2"/>
    <w:basedOn w:val="Normal"/>
    <w:next w:val="Normal"/>
    <w:autoRedefine/>
    <w:uiPriority w:val="39"/>
    <w:unhideWhenUsed/>
    <w:rsid w:val="00AF5975"/>
    <w:pPr>
      <w:spacing w:after="100"/>
      <w:ind w:left="220"/>
    </w:pPr>
  </w:style>
  <w:style w:type="paragraph" w:styleId="TOC3">
    <w:name w:val="toc 3"/>
    <w:basedOn w:val="Normal"/>
    <w:next w:val="Normal"/>
    <w:autoRedefine/>
    <w:uiPriority w:val="39"/>
    <w:unhideWhenUsed/>
    <w:rsid w:val="00AF5975"/>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C13D6B-1793-4515-80A7-5BCD3674B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2061</Words>
  <Characters>11749</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Vaughan</dc:creator>
  <cp:keywords/>
  <dc:description/>
  <cp:lastModifiedBy>Cathy Vaughan</cp:lastModifiedBy>
  <cp:revision>6</cp:revision>
  <cp:lastPrinted>2021-02-10T19:31:00Z</cp:lastPrinted>
  <dcterms:created xsi:type="dcterms:W3CDTF">2021-02-02T18:01:00Z</dcterms:created>
  <dcterms:modified xsi:type="dcterms:W3CDTF">2021-02-10T19:32:00Z</dcterms:modified>
</cp:coreProperties>
</file>