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ARTICLE 306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SEXUAL MISCONDUCT REPORTING REQUIREMENTS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306.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t is every member’s responsibility to promptly report any incident regarding sexua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isconduct by a member as described in Article 304.3.7 to USA Swimming’s Director of Safe Sport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Reporting must occur when an individual has firsthand knowledge of misconduct or where specific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nd credible information has been received from a victim or knowledgeable third party. Various stat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laws may also require reporting to law enforcement or to a designated child protection agency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306.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Filing a knowingly false allegation of sexual misconduct is prohibited and may violate stat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riminal law and civil defamation laws. Any person making a knowingly false allegation of sexua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isconduct shall be subject to disciplinary action by USA Swimming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306.3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Neither civil nor criminal statutes of limitation apply to reports of cases of sexual abus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