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AC8" w:rsidRPr="00540AC8" w:rsidRDefault="00540AC8">
      <w:r w:rsidRPr="00540AC8">
        <w:t>ARTICLE 306 </w:t>
      </w:r>
      <w:r w:rsidRPr="00540AC8">
        <w:t xml:space="preserve">SEXUAL MISCONDUCT REPORTING REQUIREMENTS  </w:t>
      </w:r>
    </w:p>
    <w:p w:rsidR="00AC79FB" w:rsidRPr="00540AC8" w:rsidRDefault="00540AC8">
      <w:r w:rsidRPr="00540AC8">
        <w:t>306.1 It is every member’s responsibility to promptly report any incident re</w:t>
      </w:r>
      <w:r w:rsidRPr="00540AC8">
        <w:t>garding sexual misconduct by a </w:t>
      </w:r>
      <w:r w:rsidRPr="00540AC8">
        <w:t>member as described in the SafeSport Code for the U.S. Olympic and Paralympic Movement to the U.S. Center</w:t>
      </w:r>
      <w:proofErr w:type="gramStart"/>
      <w:r w:rsidRPr="00540AC8">
        <w:t>  for</w:t>
      </w:r>
      <w:proofErr w:type="gramEnd"/>
      <w:r w:rsidRPr="00540AC8">
        <w:t> SafeSport. Reporting must occur when an individual has firsthand kn</w:t>
      </w:r>
      <w:r w:rsidRPr="00540AC8">
        <w:t>owledge of misconduct or where </w:t>
      </w:r>
      <w:r w:rsidRPr="00540AC8">
        <w:t>specific and credible information has been received from a victim or knowledgeab</w:t>
      </w:r>
      <w:r w:rsidRPr="00540AC8">
        <w:t>le third party. Various state l</w:t>
      </w:r>
      <w:r w:rsidRPr="00540AC8">
        <w:t>aws may also require reporting to law enforcement or to a designated child protection agency. </w:t>
      </w:r>
      <w:bookmarkStart w:id="0" w:name="_GoBack"/>
      <w:bookmarkEnd w:id="0"/>
    </w:p>
    <w:p w:rsidR="00540AC8" w:rsidRPr="00540AC8" w:rsidRDefault="00540AC8">
      <w:r w:rsidRPr="00540AC8">
        <w:t>306.2 Filing a knowingly false allegation of sexual misconduct is pr</w:t>
      </w:r>
      <w:r w:rsidRPr="00540AC8">
        <w:t>ohibited and may violate state </w:t>
      </w:r>
      <w:r w:rsidRPr="00540AC8">
        <w:t>criminal law and civil defamation laws. Any person making a knowin</w:t>
      </w:r>
      <w:r w:rsidRPr="00540AC8">
        <w:t>gly false allegation of sexual </w:t>
      </w:r>
      <w:r w:rsidRPr="00540AC8">
        <w:t>misconduct shall be subject to disciplinary action by USA Swimming. </w:t>
      </w:r>
    </w:p>
    <w:p w:rsidR="00540AC8" w:rsidRPr="00540AC8" w:rsidRDefault="00540AC8">
      <w:r w:rsidRPr="00540AC8">
        <w:t>306.3 Neither civil nor criminal statutes of limitation apply to reports of cases of sexual abuse. </w:t>
      </w:r>
    </w:p>
    <w:p w:rsidR="00540AC8" w:rsidRPr="00540AC8" w:rsidRDefault="00540AC8">
      <w:pPr>
        <w:rPr>
          <w:rFonts w:cs="Arial"/>
          <w:color w:val="000000"/>
          <w:shd w:val="clear" w:color="auto" w:fill="FFFFFF"/>
        </w:rPr>
      </w:pPr>
      <w:r w:rsidRPr="00540AC8">
        <w:rPr>
          <w:rFonts w:cs="Arial"/>
          <w:color w:val="000000"/>
          <w:shd w:val="clear" w:color="auto" w:fill="FFFFFF"/>
        </w:rPr>
        <w:t>You can call </w:t>
      </w:r>
      <w:r w:rsidRPr="00540AC8">
        <w:rPr>
          <w:rFonts w:cs="Arial"/>
          <w:b/>
          <w:bCs/>
          <w:color w:val="000000"/>
          <w:shd w:val="clear" w:color="auto" w:fill="FFFFFF"/>
        </w:rPr>
        <w:t>1-855-503-SAFE (7233)</w:t>
      </w:r>
      <w:r w:rsidRPr="00540AC8">
        <w:rPr>
          <w:rFonts w:cs="Arial"/>
          <w:color w:val="000000"/>
          <w:shd w:val="clear" w:color="auto" w:fill="FFFFFF"/>
        </w:rPr>
        <w:t>. This toll-free number allows you to report abuse or neglect of any child or adult to the Oregon Department of Human Services.</w:t>
      </w:r>
    </w:p>
    <w:p w:rsidR="00540AC8" w:rsidRPr="00540AC8" w:rsidRDefault="00540AC8" w:rsidP="00540AC8">
      <w:pPr>
        <w:shd w:val="clear" w:color="auto" w:fill="FFFFFF"/>
        <w:spacing w:before="150" w:after="150" w:line="386" w:lineRule="atLeast"/>
        <w:outlineLvl w:val="2"/>
        <w:rPr>
          <w:rFonts w:eastAsia="Times New Roman" w:cs="Arial"/>
          <w:b/>
          <w:bCs/>
          <w:color w:val="000000"/>
        </w:rPr>
      </w:pPr>
      <w:r w:rsidRPr="00540AC8">
        <w:rPr>
          <w:rFonts w:eastAsia="Times New Roman" w:cs="Arial"/>
          <w:b/>
          <w:bCs/>
          <w:color w:val="000000"/>
        </w:rPr>
        <w:t>Reporting abuse and neglect</w:t>
      </w:r>
    </w:p>
    <w:p w:rsidR="00540AC8" w:rsidRPr="00540AC8" w:rsidRDefault="00540AC8" w:rsidP="00540AC8">
      <w:pPr>
        <w:shd w:val="clear" w:color="auto" w:fill="FFFFFF"/>
        <w:spacing w:after="150" w:line="240" w:lineRule="auto"/>
        <w:rPr>
          <w:rFonts w:eastAsia="Times New Roman" w:cs="Arial"/>
          <w:color w:val="000000"/>
        </w:rPr>
      </w:pPr>
      <w:r w:rsidRPr="00540AC8">
        <w:rPr>
          <w:rFonts w:eastAsia="Times New Roman" w:cs="Arial"/>
          <w:color w:val="000000"/>
        </w:rPr>
        <w:t>All citizens have a responsibility to protect those who cannot protect themselves. Members of the general public may report suspected abuse and neglect if they choose.</w:t>
      </w:r>
    </w:p>
    <w:p w:rsidR="00540AC8" w:rsidRPr="00540AC8" w:rsidRDefault="00540AC8" w:rsidP="00540AC8">
      <w:pPr>
        <w:shd w:val="clear" w:color="auto" w:fill="FFFFFF"/>
        <w:spacing w:after="150" w:line="240" w:lineRule="auto"/>
        <w:rPr>
          <w:rFonts w:eastAsia="Times New Roman" w:cs="Arial"/>
          <w:color w:val="000000"/>
        </w:rPr>
      </w:pPr>
      <w:r w:rsidRPr="00540AC8">
        <w:rPr>
          <w:rFonts w:eastAsia="Times New Roman" w:cs="Arial"/>
          <w:color w:val="000000"/>
        </w:rPr>
        <w:t>Oregon state law, however, mandates that workers in certain professions must make reports if they have reasonable cause to suspect abuse or neglect. These people are called mandatory reporters and they are a crucial link in the system to protect Oregon’s most vulnerable citizens.</w:t>
      </w:r>
    </w:p>
    <w:p w:rsidR="00540AC8" w:rsidRPr="00540AC8" w:rsidRDefault="00540AC8" w:rsidP="00540AC8">
      <w:pPr>
        <w:shd w:val="clear" w:color="auto" w:fill="FFFFFF"/>
        <w:spacing w:after="150" w:line="240" w:lineRule="auto"/>
        <w:rPr>
          <w:rFonts w:eastAsia="Times New Roman" w:cs="Arial"/>
          <w:color w:val="000000"/>
        </w:rPr>
      </w:pPr>
      <w:hyperlink r:id="rId7" w:history="1">
        <w:r w:rsidRPr="00540AC8">
          <w:rPr>
            <w:rFonts w:eastAsia="Times New Roman" w:cs="Arial"/>
            <w:color w:val="7F297A"/>
            <w:u w:val="single"/>
          </w:rPr>
          <w:t>All employees of the Oregon Department of Human Services</w:t>
        </w:r>
      </w:hyperlink>
      <w:r w:rsidRPr="00540AC8">
        <w:rPr>
          <w:rFonts w:eastAsia="Times New Roman" w:cs="Arial"/>
          <w:color w:val="000000"/>
        </w:rPr>
        <w:t> are mandatory reporters. These individuals are required to report because they have frequent contact with at-risk populations – infants and children, people who are elderly or dependent, individuals with mental illness or developmental disabilities, and residents of nursing homes and other health care facilities.</w:t>
      </w:r>
    </w:p>
    <w:p w:rsidR="00540AC8" w:rsidRPr="00540AC8" w:rsidRDefault="00540AC8" w:rsidP="00540AC8">
      <w:pPr>
        <w:shd w:val="clear" w:color="auto" w:fill="FFFFFF"/>
        <w:spacing w:after="150" w:line="240" w:lineRule="auto"/>
        <w:rPr>
          <w:rFonts w:eastAsia="Times New Roman" w:cs="Arial"/>
          <w:color w:val="000000"/>
        </w:rPr>
      </w:pPr>
      <w:r w:rsidRPr="00540AC8">
        <w:rPr>
          <w:rFonts w:eastAsia="Times New Roman" w:cs="Arial"/>
          <w:color w:val="000000"/>
        </w:rPr>
        <w:t>Various laws covering these populations offer differing definitions of abuse and different penalties for failing to report. But there is a lot of common ground such as any evidence of physical injury, neglect, sexual or emotional abuse, or financial exploitation.</w:t>
      </w:r>
    </w:p>
    <w:p w:rsidR="00540AC8" w:rsidRPr="00540AC8" w:rsidRDefault="00540AC8" w:rsidP="00540AC8">
      <w:pPr>
        <w:shd w:val="clear" w:color="auto" w:fill="FFFFFF"/>
        <w:spacing w:after="150" w:line="240" w:lineRule="auto"/>
        <w:rPr>
          <w:rFonts w:eastAsia="Times New Roman" w:cs="Arial"/>
          <w:color w:val="000000"/>
        </w:rPr>
      </w:pPr>
      <w:r w:rsidRPr="00540AC8">
        <w:rPr>
          <w:rFonts w:eastAsia="Times New Roman" w:cs="Arial"/>
          <w:color w:val="000000"/>
        </w:rPr>
        <w:t>By law, mandatory reporters must report suspected abuse or neglect of a child regardless of whether or not the knowledge of the abuse was gained in the reporter’s official capacity. In other words, the mandatory reporting of abuse or neglect of children is a 24-hour obligation.</w:t>
      </w:r>
    </w:p>
    <w:p w:rsidR="00540AC8" w:rsidRPr="00540AC8" w:rsidRDefault="00540AC8" w:rsidP="00540AC8">
      <w:pPr>
        <w:shd w:val="clear" w:color="auto" w:fill="FFFFFF"/>
        <w:spacing w:after="150" w:line="240" w:lineRule="auto"/>
        <w:rPr>
          <w:rFonts w:eastAsia="Times New Roman" w:cs="Arial"/>
          <w:color w:val="000000"/>
        </w:rPr>
      </w:pPr>
      <w:r w:rsidRPr="00540AC8">
        <w:rPr>
          <w:rFonts w:eastAsia="Times New Roman" w:cs="Arial"/>
          <w:color w:val="000000"/>
        </w:rPr>
        <w:t>Mandatory reporters, while acting in an official capacity, who come in contact with an elderly or developmentally disabled adult they suspect have been abused or neglected, must report to DHS or law enforcement.</w:t>
      </w:r>
    </w:p>
    <w:p w:rsidR="00540AC8" w:rsidRPr="00540AC8" w:rsidRDefault="00540AC8" w:rsidP="00540AC8">
      <w:pPr>
        <w:shd w:val="clear" w:color="auto" w:fill="FFFFFF"/>
        <w:spacing w:after="150" w:line="386" w:lineRule="atLeast"/>
        <w:outlineLvl w:val="2"/>
        <w:rPr>
          <w:rFonts w:eastAsia="Times New Roman" w:cs="Arial"/>
          <w:b/>
          <w:bCs/>
          <w:color w:val="000000"/>
        </w:rPr>
      </w:pPr>
      <w:r w:rsidRPr="00540AC8">
        <w:rPr>
          <w:rFonts w:eastAsia="Times New Roman" w:cs="Arial"/>
          <w:b/>
          <w:bCs/>
          <w:color w:val="000000"/>
        </w:rPr>
        <w:t>What is a "child"?</w:t>
      </w:r>
    </w:p>
    <w:p w:rsidR="00540AC8" w:rsidRPr="00540AC8" w:rsidRDefault="00540AC8" w:rsidP="00540AC8">
      <w:pPr>
        <w:shd w:val="clear" w:color="auto" w:fill="FFFFFF"/>
        <w:spacing w:after="0" w:line="240" w:lineRule="auto"/>
        <w:rPr>
          <w:rFonts w:eastAsia="Times New Roman" w:cs="Arial"/>
          <w:color w:val="000000"/>
        </w:rPr>
      </w:pPr>
      <w:r w:rsidRPr="00540AC8">
        <w:rPr>
          <w:rFonts w:eastAsia="Times New Roman" w:cs="Arial"/>
          <w:color w:val="000000"/>
        </w:rPr>
        <w:t>A child is a person, married or unmarried, under the age of 18.</w:t>
      </w:r>
    </w:p>
    <w:p w:rsidR="00540AC8" w:rsidRPr="00540AC8" w:rsidRDefault="00540AC8" w:rsidP="00540AC8">
      <w:pPr>
        <w:shd w:val="clear" w:color="auto" w:fill="FFFFFF"/>
        <w:spacing w:after="0" w:line="240" w:lineRule="auto"/>
        <w:rPr>
          <w:rFonts w:eastAsia="Times New Roman" w:cs="Arial"/>
          <w:color w:val="000000"/>
        </w:rPr>
      </w:pPr>
      <w:r w:rsidRPr="00540AC8">
        <w:rPr>
          <w:rFonts w:eastAsia="Times New Roman" w:cs="Arial"/>
          <w:color w:val="000000"/>
        </w:rPr>
        <w:t> </w:t>
      </w:r>
    </w:p>
    <w:p w:rsidR="00540AC8" w:rsidRPr="00540AC8" w:rsidRDefault="00540AC8" w:rsidP="00540AC8">
      <w:pPr>
        <w:shd w:val="clear" w:color="auto" w:fill="FFFFFF"/>
        <w:spacing w:after="0" w:line="240" w:lineRule="auto"/>
        <w:rPr>
          <w:rFonts w:eastAsia="Times New Roman" w:cs="Arial"/>
          <w:color w:val="000000"/>
        </w:rPr>
      </w:pPr>
      <w:r w:rsidRPr="00540AC8">
        <w:rPr>
          <w:rFonts w:eastAsia="Times New Roman" w:cs="Arial"/>
          <w:color w:val="000000"/>
        </w:rPr>
        <w:t>"Child" also includes an 18, 19 or 20-year-old who lives in a child-caring agency (CCA) or receives care or services from a CCA.</w:t>
      </w:r>
    </w:p>
    <w:p w:rsidR="00540AC8" w:rsidRPr="00540AC8" w:rsidRDefault="00540AC8" w:rsidP="00540AC8">
      <w:pPr>
        <w:shd w:val="clear" w:color="auto" w:fill="FFFFFF"/>
        <w:spacing w:after="0" w:line="240" w:lineRule="auto"/>
        <w:rPr>
          <w:rFonts w:eastAsia="Times New Roman" w:cs="Arial"/>
          <w:color w:val="000000"/>
        </w:rPr>
      </w:pPr>
      <w:r w:rsidRPr="00540AC8">
        <w:rPr>
          <w:rFonts w:eastAsia="Times New Roman" w:cs="Arial"/>
          <w:color w:val="000000"/>
        </w:rPr>
        <w:t> </w:t>
      </w:r>
    </w:p>
    <w:p w:rsidR="00540AC8" w:rsidRPr="00540AC8" w:rsidRDefault="00540AC8" w:rsidP="00540AC8">
      <w:pPr>
        <w:shd w:val="clear" w:color="auto" w:fill="FFFFFF"/>
        <w:spacing w:after="0" w:line="240" w:lineRule="auto"/>
        <w:rPr>
          <w:rFonts w:eastAsia="Times New Roman" w:cs="Arial"/>
          <w:color w:val="000000"/>
        </w:rPr>
      </w:pPr>
      <w:r w:rsidRPr="00540AC8">
        <w:rPr>
          <w:rFonts w:eastAsia="Times New Roman" w:cs="Arial"/>
          <w:color w:val="000000"/>
        </w:rPr>
        <w:lastRenderedPageBreak/>
        <w:t>A CCA refers to a private agency or private organization licensed by DHS and includes:</w:t>
      </w:r>
    </w:p>
    <w:p w:rsidR="00540AC8" w:rsidRPr="00540AC8" w:rsidRDefault="00540AC8" w:rsidP="00540AC8">
      <w:pPr>
        <w:numPr>
          <w:ilvl w:val="0"/>
          <w:numId w:val="1"/>
        </w:numPr>
        <w:shd w:val="clear" w:color="auto" w:fill="FFFFFF"/>
        <w:spacing w:before="100" w:beforeAutospacing="1" w:after="100" w:afterAutospacing="1" w:line="240" w:lineRule="auto"/>
        <w:ind w:left="375"/>
        <w:rPr>
          <w:rFonts w:eastAsia="Times New Roman" w:cs="Arial"/>
          <w:color w:val="000000"/>
        </w:rPr>
      </w:pPr>
      <w:r w:rsidRPr="00540AC8">
        <w:rPr>
          <w:rFonts w:eastAsia="Times New Roman" w:cs="Arial"/>
          <w:color w:val="000000"/>
        </w:rPr>
        <w:t>psychiatric day treatment for children</w:t>
      </w:r>
    </w:p>
    <w:p w:rsidR="00540AC8" w:rsidRPr="00540AC8" w:rsidRDefault="00540AC8" w:rsidP="00540AC8">
      <w:pPr>
        <w:numPr>
          <w:ilvl w:val="0"/>
          <w:numId w:val="1"/>
        </w:numPr>
        <w:shd w:val="clear" w:color="auto" w:fill="FFFFFF"/>
        <w:spacing w:before="100" w:beforeAutospacing="1" w:after="100" w:afterAutospacing="1" w:line="240" w:lineRule="auto"/>
        <w:ind w:left="375"/>
        <w:rPr>
          <w:rFonts w:eastAsia="Times New Roman" w:cs="Arial"/>
          <w:color w:val="000000"/>
        </w:rPr>
      </w:pPr>
      <w:r w:rsidRPr="00540AC8">
        <w:rPr>
          <w:rFonts w:eastAsia="Times New Roman" w:cs="Arial"/>
          <w:color w:val="000000"/>
        </w:rPr>
        <w:t>adoption placements services </w:t>
      </w:r>
    </w:p>
    <w:p w:rsidR="00540AC8" w:rsidRPr="00540AC8" w:rsidRDefault="00540AC8" w:rsidP="00540AC8">
      <w:pPr>
        <w:numPr>
          <w:ilvl w:val="0"/>
          <w:numId w:val="1"/>
        </w:numPr>
        <w:shd w:val="clear" w:color="auto" w:fill="FFFFFF"/>
        <w:spacing w:before="100" w:beforeAutospacing="1" w:after="100" w:afterAutospacing="1" w:line="240" w:lineRule="auto"/>
        <w:ind w:left="375"/>
        <w:rPr>
          <w:rFonts w:eastAsia="Times New Roman" w:cs="Arial"/>
          <w:color w:val="000000"/>
        </w:rPr>
      </w:pPr>
      <w:r w:rsidRPr="00540AC8">
        <w:rPr>
          <w:rFonts w:eastAsia="Times New Roman" w:cs="Arial"/>
          <w:color w:val="000000"/>
        </w:rPr>
        <w:t>residential care, including proctor foster care or residential treatment</w:t>
      </w:r>
    </w:p>
    <w:p w:rsidR="00540AC8" w:rsidRPr="00540AC8" w:rsidRDefault="00540AC8" w:rsidP="00540AC8">
      <w:pPr>
        <w:numPr>
          <w:ilvl w:val="0"/>
          <w:numId w:val="1"/>
        </w:numPr>
        <w:shd w:val="clear" w:color="auto" w:fill="FFFFFF"/>
        <w:spacing w:before="100" w:beforeAutospacing="1" w:after="100" w:afterAutospacing="1" w:line="240" w:lineRule="auto"/>
        <w:ind w:left="375"/>
        <w:rPr>
          <w:rFonts w:eastAsia="Times New Roman" w:cs="Arial"/>
          <w:color w:val="000000"/>
        </w:rPr>
      </w:pPr>
      <w:r w:rsidRPr="00540AC8">
        <w:rPr>
          <w:rFonts w:eastAsia="Times New Roman" w:cs="Arial"/>
          <w:color w:val="000000"/>
        </w:rPr>
        <w:t>boarding schools</w:t>
      </w:r>
    </w:p>
    <w:p w:rsidR="00540AC8" w:rsidRPr="00540AC8" w:rsidRDefault="00540AC8" w:rsidP="00540AC8">
      <w:pPr>
        <w:numPr>
          <w:ilvl w:val="0"/>
          <w:numId w:val="1"/>
        </w:numPr>
        <w:shd w:val="clear" w:color="auto" w:fill="FFFFFF"/>
        <w:spacing w:before="100" w:beforeAutospacing="1" w:after="100" w:afterAutospacing="1" w:line="240" w:lineRule="auto"/>
        <w:ind w:left="375"/>
        <w:rPr>
          <w:rFonts w:eastAsia="Times New Roman" w:cs="Arial"/>
          <w:color w:val="000000"/>
        </w:rPr>
      </w:pPr>
      <w:r w:rsidRPr="00540AC8">
        <w:rPr>
          <w:rFonts w:eastAsia="Times New Roman" w:cs="Arial"/>
          <w:color w:val="000000"/>
        </w:rPr>
        <w:t>outdoor youth programs, or </w:t>
      </w:r>
    </w:p>
    <w:p w:rsidR="00540AC8" w:rsidRPr="00540AC8" w:rsidRDefault="00540AC8" w:rsidP="00540AC8">
      <w:pPr>
        <w:numPr>
          <w:ilvl w:val="0"/>
          <w:numId w:val="1"/>
        </w:numPr>
        <w:shd w:val="clear" w:color="auto" w:fill="FFFFFF"/>
        <w:spacing w:before="100" w:beforeAutospacing="1" w:after="100" w:afterAutospacing="1" w:line="240" w:lineRule="auto"/>
        <w:ind w:left="375"/>
        <w:rPr>
          <w:rFonts w:eastAsia="Times New Roman" w:cs="Arial"/>
          <w:color w:val="000000"/>
        </w:rPr>
      </w:pPr>
      <w:r w:rsidRPr="00540AC8">
        <w:rPr>
          <w:rFonts w:eastAsia="Times New Roman" w:cs="Arial"/>
          <w:color w:val="000000"/>
        </w:rPr>
        <w:t>other similar care or services for children</w:t>
      </w:r>
    </w:p>
    <w:p w:rsidR="00540AC8" w:rsidRPr="00540AC8" w:rsidRDefault="00540AC8" w:rsidP="00540AC8">
      <w:pPr>
        <w:shd w:val="clear" w:color="auto" w:fill="FFFFFF"/>
        <w:spacing w:after="0" w:line="240" w:lineRule="auto"/>
        <w:rPr>
          <w:rFonts w:eastAsia="Times New Roman" w:cs="Arial"/>
          <w:color w:val="000000"/>
        </w:rPr>
      </w:pPr>
      <w:r w:rsidRPr="00540AC8">
        <w:rPr>
          <w:rFonts w:eastAsia="Times New Roman" w:cs="Arial"/>
          <w:color w:val="000000"/>
        </w:rPr>
        <w:t>For a </w:t>
      </w:r>
      <w:hyperlink r:id="rId8" w:history="1">
        <w:r w:rsidRPr="00540AC8">
          <w:rPr>
            <w:rFonts w:eastAsia="Times New Roman" w:cs="Arial"/>
            <w:color w:val="7F297A"/>
            <w:u w:val="single"/>
          </w:rPr>
          <w:t>complete definition see ORS 418.205​</w:t>
        </w:r>
      </w:hyperlink>
    </w:p>
    <w:p w:rsidR="00540AC8" w:rsidRPr="00540AC8" w:rsidRDefault="00540AC8" w:rsidP="00540AC8">
      <w:pPr>
        <w:shd w:val="clear" w:color="auto" w:fill="FFFFFF"/>
        <w:spacing w:before="150" w:after="150" w:line="386" w:lineRule="atLeast"/>
        <w:outlineLvl w:val="2"/>
        <w:rPr>
          <w:rFonts w:eastAsia="Times New Roman" w:cs="Arial"/>
          <w:b/>
          <w:bCs/>
          <w:color w:val="000000"/>
        </w:rPr>
      </w:pPr>
      <w:r w:rsidRPr="00540AC8">
        <w:rPr>
          <w:rFonts w:eastAsia="Times New Roman" w:cs="Arial"/>
          <w:b/>
          <w:bCs/>
          <w:color w:val="000000"/>
        </w:rPr>
        <w:t>Who are mandatory reporters?</w:t>
      </w:r>
    </w:p>
    <w:p w:rsidR="00540AC8" w:rsidRPr="00540AC8" w:rsidRDefault="00540AC8" w:rsidP="00540AC8">
      <w:pPr>
        <w:shd w:val="clear" w:color="auto" w:fill="FFFFFF"/>
        <w:spacing w:after="150" w:line="240" w:lineRule="auto"/>
        <w:rPr>
          <w:rFonts w:eastAsia="Times New Roman" w:cs="Arial"/>
          <w:color w:val="000000"/>
        </w:rPr>
      </w:pPr>
      <w:r w:rsidRPr="00540AC8">
        <w:rPr>
          <w:rFonts w:eastAsia="Times New Roman" w:cs="Arial"/>
          <w:color w:val="000000"/>
        </w:rPr>
        <w:t>For a current and complete list of public or private officials who are mandatory reporters please refer to </w:t>
      </w:r>
      <w:hyperlink r:id="rId9" w:history="1">
        <w:r w:rsidRPr="00540AC8">
          <w:rPr>
            <w:rFonts w:eastAsia="Times New Roman" w:cs="Arial"/>
            <w:color w:val="7F297A"/>
            <w:u w:val="single"/>
          </w:rPr>
          <w:t>Oregon Revised Statute 419B.005 (3)</w:t>
        </w:r>
      </w:hyperlink>
      <w:r w:rsidRPr="00540AC8">
        <w:rPr>
          <w:rFonts w:eastAsia="Times New Roman" w:cs="Arial"/>
          <w:color w:val="000000"/>
        </w:rPr>
        <w:t>. Some of these mandatory reporters include:</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Physician or physician assistant licensed under </w:t>
      </w:r>
      <w:hyperlink r:id="rId10" w:history="1">
        <w:r w:rsidRPr="00540AC8">
          <w:rPr>
            <w:rFonts w:eastAsia="Times New Roman" w:cs="Arial"/>
            <w:color w:val="0000FF"/>
            <w:u w:val="single"/>
          </w:rPr>
          <w:t>ORS chapter 677</w:t>
        </w:r>
      </w:hyperlink>
      <w:r w:rsidRPr="00540AC8">
        <w:rPr>
          <w:rFonts w:eastAsia="Times New Roman" w:cs="Arial"/>
          <w:color w:val="000000"/>
        </w:rPr>
        <w:t>​ or naturopathic physician, including any intern or resident;</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Dentists;</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School employee, including an employee of a higher education institution;</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Licensed practical nurse, registered nurse, nurse practitioner, nurse’s aide, home health aide or employee of an in-home health service;</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Peace officer;</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Psychologist;</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Member of the clergy;</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Regulated social worker;</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Optometrist;</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Chiropractor;</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Certified provider of foster care, or an employee thereof;</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Attorney;</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Licensed professional counselor;</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Licensed marriage and family therapist;</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Firefighter or emergency medical services provider;</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A court appointed special advocate, as defined in </w:t>
      </w:r>
      <w:hyperlink r:id="rId11" w:history="1">
        <w:r w:rsidRPr="00540AC8">
          <w:rPr>
            <w:rFonts w:eastAsia="Times New Roman" w:cs="Arial"/>
            <w:color w:val="0000FF"/>
            <w:u w:val="single"/>
          </w:rPr>
          <w:t>ORS 419A.004</w:t>
        </w:r>
      </w:hyperlink>
      <w:r w:rsidRPr="00540AC8">
        <w:rPr>
          <w:rFonts w:eastAsia="Times New Roman" w:cs="Arial"/>
          <w:color w:val="000000"/>
        </w:rPr>
        <w:t>;</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A child care provider registered or certified under </w:t>
      </w:r>
      <w:hyperlink r:id="rId12" w:history="1">
        <w:r w:rsidRPr="00540AC8">
          <w:rPr>
            <w:rFonts w:eastAsia="Times New Roman" w:cs="Arial"/>
            <w:color w:val="0000FF"/>
            <w:u w:val="single"/>
          </w:rPr>
          <w:t>ORS 329A.030 and 329A.250 to 329A.450</w:t>
        </w:r>
      </w:hyperlink>
      <w:r w:rsidRPr="00540AC8">
        <w:rPr>
          <w:rFonts w:eastAsia="Times New Roman" w:cs="Arial"/>
          <w:color w:val="000000"/>
        </w:rPr>
        <w:t>;</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Member of the Legislative Assembly;</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Physical, speech or occupational therapist;</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Audiologist;</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Speech-language pathologist;</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Employee of the Teacher Standards and Practices Commission directly involved in investigations or discipline by the commission;</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Pharmacist;</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An operator of a preschool recorded program under </w:t>
      </w:r>
      <w:hyperlink r:id="rId13" w:history="1">
        <w:r w:rsidRPr="00540AC8">
          <w:rPr>
            <w:rFonts w:eastAsia="Times New Roman" w:cs="Arial"/>
            <w:color w:val="0000FF"/>
            <w:u w:val="single"/>
          </w:rPr>
          <w:t>ORS 329A.255</w:t>
        </w:r>
      </w:hyperlink>
      <w:r w:rsidRPr="00540AC8">
        <w:rPr>
          <w:rFonts w:eastAsia="Times New Roman" w:cs="Arial"/>
          <w:color w:val="000000"/>
        </w:rPr>
        <w:t>;</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An operator of a school-age recorded program under </w:t>
      </w:r>
      <w:hyperlink r:id="rId14" w:history="1">
        <w:r w:rsidRPr="00540AC8">
          <w:rPr>
            <w:rFonts w:eastAsia="Times New Roman" w:cs="Arial"/>
            <w:color w:val="0000FF"/>
            <w:u w:val="single"/>
          </w:rPr>
          <w:t>ORS 329A.257</w:t>
        </w:r>
      </w:hyperlink>
      <w:r w:rsidRPr="00540AC8">
        <w:rPr>
          <w:rFonts w:eastAsia="Times New Roman" w:cs="Arial"/>
          <w:color w:val="000000"/>
        </w:rPr>
        <w:t>;</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lastRenderedPageBreak/>
        <w:t>Employee of a private agency or organization facilitating the provision of respite services, as defined in </w:t>
      </w:r>
      <w:hyperlink r:id="rId15" w:history="1">
        <w:r w:rsidRPr="00540AC8">
          <w:rPr>
            <w:rFonts w:eastAsia="Times New Roman" w:cs="Arial"/>
            <w:color w:val="0000FF"/>
            <w:u w:val="single"/>
          </w:rPr>
          <w:t>ORS 418.205</w:t>
        </w:r>
      </w:hyperlink>
      <w:r w:rsidRPr="00540AC8">
        <w:rPr>
          <w:rFonts w:eastAsia="Times New Roman" w:cs="Arial"/>
          <w:color w:val="000000"/>
        </w:rPr>
        <w:t>, for parents pursuant to a properly executed power of attorney under </w:t>
      </w:r>
      <w:hyperlink r:id="rId16" w:history="1">
        <w:r w:rsidRPr="00540AC8">
          <w:rPr>
            <w:rFonts w:eastAsia="Times New Roman" w:cs="Arial"/>
            <w:color w:val="0000FF"/>
            <w:u w:val="single"/>
          </w:rPr>
          <w:t>ORS 109.056</w:t>
        </w:r>
      </w:hyperlink>
      <w:r w:rsidRPr="00540AC8">
        <w:rPr>
          <w:rFonts w:eastAsia="Times New Roman" w:cs="Arial"/>
          <w:color w:val="000000"/>
        </w:rPr>
        <w:t>​;</w:t>
      </w:r>
    </w:p>
    <w:p w:rsidR="00540AC8" w:rsidRPr="00540AC8" w:rsidRDefault="00540AC8" w:rsidP="00540AC8">
      <w:pPr>
        <w:numPr>
          <w:ilvl w:val="1"/>
          <w:numId w:val="2"/>
        </w:numPr>
        <w:shd w:val="clear" w:color="auto" w:fill="FFFFFF"/>
        <w:spacing w:before="100" w:beforeAutospacing="1" w:after="100" w:afterAutospacing="1" w:line="300" w:lineRule="atLeast"/>
        <w:ind w:left="750"/>
        <w:rPr>
          <w:rFonts w:eastAsia="Times New Roman" w:cs="Arial"/>
          <w:color w:val="000000"/>
        </w:rPr>
      </w:pPr>
      <w:r w:rsidRPr="00540AC8">
        <w:rPr>
          <w:rFonts w:eastAsia="Times New Roman" w:cs="Arial"/>
          <w:color w:val="000000"/>
        </w:rPr>
        <w:t>Employee of a public or private organization providing child-related services or activities: Including but not limited to youth groups or centers, scout groups or camps, summer or day camps, survival camps or groups, centers or camps that are operated under the guidance, supervision or auspices of religious, public or private educational systems or community service organizations; and</w:t>
      </w:r>
    </w:p>
    <w:p w:rsidR="00540AC8" w:rsidRPr="00540AC8" w:rsidRDefault="00540AC8" w:rsidP="00540AC8">
      <w:pPr>
        <w:numPr>
          <w:ilvl w:val="1"/>
          <w:numId w:val="2"/>
        </w:numPr>
        <w:shd w:val="clear" w:color="auto" w:fill="FFFFFF"/>
        <w:spacing w:before="100" w:beforeAutospacing="1" w:after="100" w:afterAutospacing="1" w:line="300" w:lineRule="atLeast"/>
        <w:ind w:left="750"/>
        <w:rPr>
          <w:rFonts w:eastAsia="Times New Roman" w:cs="Arial"/>
          <w:color w:val="000000"/>
        </w:rPr>
      </w:pPr>
      <w:r w:rsidRPr="00540AC8">
        <w:rPr>
          <w:rFonts w:eastAsia="Times New Roman" w:cs="Arial"/>
          <w:color w:val="000000"/>
        </w:rPr>
        <w:t>Excluding community-based, nonprofit organizations whose primary purpose is to provide confidential, direct services to victims of domestic violence, sexual assault, stalking or human trafficking</w:t>
      </w:r>
    </w:p>
    <w:p w:rsidR="00540AC8" w:rsidRPr="00540AC8" w:rsidRDefault="00540AC8" w:rsidP="00540AC8">
      <w:pPr>
        <w:numPr>
          <w:ilvl w:val="0"/>
          <w:numId w:val="2"/>
        </w:numPr>
        <w:shd w:val="clear" w:color="auto" w:fill="FFFFFF"/>
        <w:spacing w:before="100" w:beforeAutospacing="1" w:after="100" w:afterAutospacing="1" w:line="300" w:lineRule="atLeast"/>
        <w:ind w:left="375"/>
        <w:rPr>
          <w:rFonts w:eastAsia="Times New Roman" w:cs="Arial"/>
          <w:color w:val="000000"/>
        </w:rPr>
      </w:pPr>
      <w:r w:rsidRPr="00540AC8">
        <w:rPr>
          <w:rFonts w:eastAsia="Times New Roman" w:cs="Arial"/>
          <w:color w:val="000000"/>
        </w:rPr>
        <w:t>A coach, assistant coach or trainer of an amateur, semiprofessional or professional athlete, if compensated and if the athlete is a child.</w:t>
      </w:r>
    </w:p>
    <w:p w:rsidR="00540AC8" w:rsidRPr="00540AC8" w:rsidRDefault="00540AC8"/>
    <w:sectPr w:rsidR="00540AC8" w:rsidRPr="00540AC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AC8" w:rsidRDefault="00540AC8" w:rsidP="00540AC8">
      <w:pPr>
        <w:spacing w:after="0" w:line="240" w:lineRule="auto"/>
      </w:pPr>
      <w:r>
        <w:separator/>
      </w:r>
    </w:p>
  </w:endnote>
  <w:endnote w:type="continuationSeparator" w:id="0">
    <w:p w:rsidR="00540AC8" w:rsidRDefault="00540AC8" w:rsidP="0054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C8" w:rsidRDefault="00540AC8">
    <w:pPr>
      <w:pStyle w:val="Footer"/>
    </w:pPr>
    <w:r>
      <w:t xml:space="preserve">Source: </w:t>
    </w:r>
    <w:r w:rsidRPr="00540AC8">
      <w:t>https://www.oregon.gov/DHS/ABUSE/Pages/mandatory_report.aspx</w:t>
    </w:r>
  </w:p>
  <w:p w:rsidR="00540AC8" w:rsidRDefault="00540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AC8" w:rsidRDefault="00540AC8" w:rsidP="00540AC8">
      <w:pPr>
        <w:spacing w:after="0" w:line="240" w:lineRule="auto"/>
      </w:pPr>
      <w:r>
        <w:separator/>
      </w:r>
    </w:p>
  </w:footnote>
  <w:footnote w:type="continuationSeparator" w:id="0">
    <w:p w:rsidR="00540AC8" w:rsidRDefault="00540AC8" w:rsidP="00540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14B"/>
    <w:multiLevelType w:val="multilevel"/>
    <w:tmpl w:val="F3468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85715"/>
    <w:multiLevelType w:val="multilevel"/>
    <w:tmpl w:val="F03C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C8"/>
    <w:rsid w:val="00540AC8"/>
    <w:rsid w:val="00AC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D3F37-7A75-4D60-B87C-55938C36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AC8"/>
  </w:style>
  <w:style w:type="paragraph" w:styleId="Footer">
    <w:name w:val="footer"/>
    <w:basedOn w:val="Normal"/>
    <w:link w:val="FooterChar"/>
    <w:uiPriority w:val="99"/>
    <w:unhideWhenUsed/>
    <w:rsid w:val="00540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324">
      <w:bodyDiv w:val="1"/>
      <w:marLeft w:val="0"/>
      <w:marRight w:val="0"/>
      <w:marTop w:val="0"/>
      <w:marBottom w:val="0"/>
      <w:divBdr>
        <w:top w:val="none" w:sz="0" w:space="0" w:color="auto"/>
        <w:left w:val="none" w:sz="0" w:space="0" w:color="auto"/>
        <w:bottom w:val="none" w:sz="0" w:space="0" w:color="auto"/>
        <w:right w:val="none" w:sz="0" w:space="0" w:color="auto"/>
      </w:divBdr>
    </w:div>
    <w:div w:id="623074871">
      <w:bodyDiv w:val="1"/>
      <w:marLeft w:val="0"/>
      <w:marRight w:val="0"/>
      <w:marTop w:val="0"/>
      <w:marBottom w:val="0"/>
      <w:divBdr>
        <w:top w:val="none" w:sz="0" w:space="0" w:color="auto"/>
        <w:left w:val="none" w:sz="0" w:space="0" w:color="auto"/>
        <w:bottom w:val="none" w:sz="0" w:space="0" w:color="auto"/>
        <w:right w:val="none" w:sz="0" w:space="0" w:color="auto"/>
      </w:divBdr>
      <w:divsChild>
        <w:div w:id="479007231">
          <w:marLeft w:val="0"/>
          <w:marRight w:val="0"/>
          <w:marTop w:val="0"/>
          <w:marBottom w:val="0"/>
          <w:divBdr>
            <w:top w:val="none" w:sz="0" w:space="0" w:color="auto"/>
            <w:left w:val="none" w:sz="0" w:space="0" w:color="auto"/>
            <w:bottom w:val="none" w:sz="0" w:space="0" w:color="auto"/>
            <w:right w:val="none" w:sz="0" w:space="0" w:color="auto"/>
          </w:divBdr>
        </w:div>
        <w:div w:id="1869222282">
          <w:marLeft w:val="0"/>
          <w:marRight w:val="0"/>
          <w:marTop w:val="0"/>
          <w:marBottom w:val="0"/>
          <w:divBdr>
            <w:top w:val="none" w:sz="0" w:space="0" w:color="auto"/>
            <w:left w:val="none" w:sz="0" w:space="0" w:color="auto"/>
            <w:bottom w:val="none" w:sz="0" w:space="0" w:color="auto"/>
            <w:right w:val="none" w:sz="0" w:space="0" w:color="auto"/>
          </w:divBdr>
        </w:div>
        <w:div w:id="1793555389">
          <w:marLeft w:val="0"/>
          <w:marRight w:val="0"/>
          <w:marTop w:val="0"/>
          <w:marBottom w:val="0"/>
          <w:divBdr>
            <w:top w:val="none" w:sz="0" w:space="0" w:color="auto"/>
            <w:left w:val="none" w:sz="0" w:space="0" w:color="auto"/>
            <w:bottom w:val="none" w:sz="0" w:space="0" w:color="auto"/>
            <w:right w:val="none" w:sz="0" w:space="0" w:color="auto"/>
          </w:divBdr>
        </w:div>
        <w:div w:id="721905616">
          <w:marLeft w:val="0"/>
          <w:marRight w:val="0"/>
          <w:marTop w:val="0"/>
          <w:marBottom w:val="0"/>
          <w:divBdr>
            <w:top w:val="none" w:sz="0" w:space="0" w:color="auto"/>
            <w:left w:val="none" w:sz="0" w:space="0" w:color="auto"/>
            <w:bottom w:val="none" w:sz="0" w:space="0" w:color="auto"/>
            <w:right w:val="none" w:sz="0" w:space="0" w:color="auto"/>
          </w:divBdr>
        </w:div>
        <w:div w:id="733089190">
          <w:marLeft w:val="0"/>
          <w:marRight w:val="0"/>
          <w:marTop w:val="0"/>
          <w:marBottom w:val="0"/>
          <w:divBdr>
            <w:top w:val="none" w:sz="0" w:space="0" w:color="auto"/>
            <w:left w:val="none" w:sz="0" w:space="0" w:color="auto"/>
            <w:bottom w:val="none" w:sz="0" w:space="0" w:color="auto"/>
            <w:right w:val="none" w:sz="0" w:space="0" w:color="auto"/>
          </w:divBdr>
        </w:div>
        <w:div w:id="1304919615">
          <w:marLeft w:val="0"/>
          <w:marRight w:val="0"/>
          <w:marTop w:val="0"/>
          <w:marBottom w:val="0"/>
          <w:divBdr>
            <w:top w:val="none" w:sz="0" w:space="0" w:color="auto"/>
            <w:left w:val="none" w:sz="0" w:space="0" w:color="auto"/>
            <w:bottom w:val="none" w:sz="0" w:space="0" w:color="auto"/>
            <w:right w:val="none" w:sz="0" w:space="0" w:color="auto"/>
          </w:divBdr>
        </w:div>
        <w:div w:id="159281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laws.org/ors/418.205" TargetMode="External"/><Relationship Id="rId13" Type="http://schemas.openxmlformats.org/officeDocument/2006/relationships/hyperlink" Target="https://www.oregonlegislature.gov/bills_laws/ors/ors329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gon.gov/DHS/ABUSE/Pages/mr_employees.aspx" TargetMode="External"/><Relationship Id="rId12" Type="http://schemas.openxmlformats.org/officeDocument/2006/relationships/hyperlink" Target="https://www.oregonlegislature.gov/bills_laws/ors/ors329A.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regonlegislature.gov/bills_laws/ors/ors10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legislature.gov/bills_laws/ors/ors419A.html" TargetMode="External"/><Relationship Id="rId5" Type="http://schemas.openxmlformats.org/officeDocument/2006/relationships/footnotes" Target="footnotes.xml"/><Relationship Id="rId15" Type="http://schemas.openxmlformats.org/officeDocument/2006/relationships/hyperlink" Target="https://www.oregonlegislature.gov/bills_laws/ors/ors418.html" TargetMode="External"/><Relationship Id="rId10" Type="http://schemas.openxmlformats.org/officeDocument/2006/relationships/hyperlink" Target="https://www.oregonlegislature.gov/bills_laws/ors/ors677.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regonlegislature.gov/bills_laws/ors/ors419B.html" TargetMode="External"/><Relationship Id="rId14" Type="http://schemas.openxmlformats.org/officeDocument/2006/relationships/hyperlink" Target="https://www.oregonlegislature.gov/bills_laws/ors/ors329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Lang</dc:creator>
  <cp:keywords/>
  <dc:description/>
  <cp:lastModifiedBy>Valerie Lang</cp:lastModifiedBy>
  <cp:revision>1</cp:revision>
  <dcterms:created xsi:type="dcterms:W3CDTF">2018-10-10T20:02:00Z</dcterms:created>
  <dcterms:modified xsi:type="dcterms:W3CDTF">2018-10-10T20:09:00Z</dcterms:modified>
</cp:coreProperties>
</file>