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1704975</wp:posOffset>
            </wp:positionH>
            <wp:positionV relativeFrom="paragraph">
              <wp:posOffset>114300</wp:posOffset>
            </wp:positionV>
            <wp:extent cx="2528888" cy="195745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1957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(massage therapist or other certified professional) to provide a massage, rubdown and/or athletic training modality on 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(minor athlete) on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(date)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(location). The massage, rubdown or athletic training modality must be done with at least one other adult present in the room and must never be done with only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 and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(massage therapist or other certified professional) in the room. I acknowledge that I have the right to observe the massage, rubdown or athletic training modality. I further acknowledge that this written permission is valid only for the dates and location specified herein.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9hJoEmwDFhJGEuy0ZBhL157Gw==">CgMxLjAyCGguZ2pkZ3hzOAByITFXd3FndGRPcXlVekkwZnRkZTVGUnBYQl90R3dqdUtYeQ==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